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BF87" w14:textId="77777777" w:rsidR="00512397" w:rsidRPr="00FF0F0E" w:rsidRDefault="00512397" w:rsidP="00512397">
      <w:pPr>
        <w:jc w:val="center"/>
        <w:rPr>
          <w:rFonts w:ascii="Calibri" w:eastAsiaTheme="minorEastAsia" w:hAnsi="Calibri" w:cs="Calibri"/>
          <w:b/>
          <w:smallCaps/>
          <w:sz w:val="32"/>
          <w:szCs w:val="32"/>
        </w:rPr>
      </w:pPr>
      <w:r w:rsidRPr="00FF0F0E">
        <w:rPr>
          <w:rStyle w:val="Style3"/>
          <w:sz w:val="32"/>
          <w:szCs w:val="18"/>
        </w:rPr>
        <w:t xml:space="preserve">Bipartisan Infrastructure Law - </w:t>
      </w:r>
      <w:r w:rsidRPr="00FF0F0E">
        <w:rPr>
          <w:rFonts w:ascii="Calibri" w:eastAsiaTheme="minorEastAsia" w:hAnsi="Calibri" w:cs="Calibri"/>
          <w:b/>
          <w:smallCaps/>
          <w:sz w:val="32"/>
          <w:szCs w:val="32"/>
        </w:rPr>
        <w:t>Section 40101(</w:t>
      </w:r>
      <w:r w:rsidRPr="00FF0F0E">
        <w:rPr>
          <w:b/>
          <w:bCs/>
          <w:sz w:val="32"/>
          <w:szCs w:val="32"/>
        </w:rPr>
        <w:t>d</w:t>
      </w:r>
      <w:r w:rsidRPr="00FF0F0E">
        <w:rPr>
          <w:rFonts w:ascii="Calibri" w:eastAsiaTheme="minorEastAsia" w:hAnsi="Calibri" w:cs="Calibri"/>
          <w:b/>
          <w:smallCaps/>
          <w:sz w:val="32"/>
          <w:szCs w:val="32"/>
        </w:rPr>
        <w:t>)</w:t>
      </w:r>
    </w:p>
    <w:p w14:paraId="786DB0C7" w14:textId="1236FF8F" w:rsidR="00512397" w:rsidRPr="00FF0F0E" w:rsidRDefault="00512397" w:rsidP="00FF0F0E">
      <w:pPr>
        <w:jc w:val="center"/>
        <w:rPr>
          <w:rFonts w:ascii="Calibri" w:eastAsiaTheme="minorEastAsia" w:hAnsi="Calibri" w:cs="Calibri"/>
          <w:b/>
          <w:smallCaps/>
          <w:szCs w:val="24"/>
        </w:rPr>
      </w:pPr>
      <w:r w:rsidRPr="00FF0F0E">
        <w:rPr>
          <w:rFonts w:ascii="Calibri" w:eastAsiaTheme="minorEastAsia" w:hAnsi="Calibri" w:cs="Calibri"/>
          <w:b/>
          <w:smallCaps/>
          <w:szCs w:val="24"/>
        </w:rPr>
        <w:t>Preventing Outages and Enhancing the Resilience of the Electric Grid</w:t>
      </w:r>
    </w:p>
    <w:p w14:paraId="51110FD5" w14:textId="498BC5FB" w:rsidR="001D5057" w:rsidRPr="00FF0F0E" w:rsidRDefault="00512397" w:rsidP="008B7BC0">
      <w:pPr>
        <w:spacing w:before="80"/>
        <w:jc w:val="center"/>
        <w:rPr>
          <w:rFonts w:eastAsiaTheme="minorHAnsi" w:cstheme="minorHAnsi"/>
          <w:b/>
          <w:bCs/>
          <w:szCs w:val="24"/>
        </w:rPr>
      </w:pPr>
      <w:r w:rsidRPr="001D5057">
        <w:rPr>
          <w:rFonts w:eastAsiaTheme="minorHAnsi" w:cstheme="minorHAnsi"/>
          <w:b/>
          <w:bCs/>
          <w:szCs w:val="24"/>
        </w:rPr>
        <w:t>State of North Carolina</w:t>
      </w:r>
    </w:p>
    <w:p w14:paraId="4D033E44" w14:textId="099E85E7" w:rsidR="001D5057" w:rsidRPr="001D5057" w:rsidRDefault="001D5057" w:rsidP="00512397">
      <w:pPr>
        <w:jc w:val="center"/>
        <w:rPr>
          <w:rFonts w:eastAsiaTheme="minorHAnsi" w:cstheme="minorHAnsi"/>
          <w:b/>
          <w:bCs/>
          <w:sz w:val="32"/>
          <w:szCs w:val="32"/>
        </w:rPr>
      </w:pPr>
      <w:r w:rsidRPr="001D5057">
        <w:rPr>
          <w:rFonts w:eastAsiaTheme="minorHAnsi" w:cstheme="minorHAnsi"/>
          <w:b/>
          <w:bCs/>
          <w:sz w:val="32"/>
          <w:szCs w:val="32"/>
        </w:rPr>
        <w:t>Program Narrative Overview</w:t>
      </w:r>
    </w:p>
    <w:p w14:paraId="67D5D150" w14:textId="69924136" w:rsidR="00512397" w:rsidRDefault="00512397" w:rsidP="00512397">
      <w:pPr>
        <w:rPr>
          <w:rFonts w:eastAsiaTheme="minorHAnsi" w:cstheme="minorHAnsi"/>
          <w:b/>
          <w:bCs/>
          <w:sz w:val="22"/>
          <w:szCs w:val="22"/>
        </w:rPr>
      </w:pPr>
    </w:p>
    <w:p w14:paraId="47842E43" w14:textId="34EF9AEE" w:rsidR="00732189" w:rsidRPr="00512397" w:rsidRDefault="00512397" w:rsidP="00512397">
      <w:pPr>
        <w:rPr>
          <w:rFonts w:eastAsiaTheme="minorHAnsi" w:cstheme="minorHAnsi"/>
          <w:sz w:val="22"/>
          <w:szCs w:val="22"/>
        </w:rPr>
      </w:pPr>
      <w:r w:rsidRPr="00512397">
        <w:rPr>
          <w:rFonts w:eastAsiaTheme="minorHAnsi" w:cstheme="minorHAnsi"/>
          <w:sz w:val="22"/>
          <w:szCs w:val="22"/>
        </w:rPr>
        <w:t>Under the Grid Resilience Formula Grant Program through Section 40101(d) of the Infrastructure Investment and Jobs Act (IIJA), the U.S. Department of Energy (DOE) will provide an estimated $2.3 billion in formula grants to States and Indian Tribes (eligible applicants) to improve the resilience of the electric grid against disruptive events. The North Carolina Department of Environmental Quality's (NC DEQs) State Energy Office (SEO) will administer funding to subawardees, an estimated value of $9.2 million annually for the next five years.</w:t>
      </w:r>
    </w:p>
    <w:p w14:paraId="3849C596" w14:textId="77777777" w:rsidR="00512397" w:rsidRDefault="00512397" w:rsidP="00512397">
      <w:pPr>
        <w:rPr>
          <w:sz w:val="22"/>
          <w:szCs w:val="22"/>
        </w:rPr>
      </w:pPr>
    </w:p>
    <w:p w14:paraId="0222CE81" w14:textId="220F1949" w:rsidR="00512397" w:rsidRDefault="00512397" w:rsidP="00512397">
      <w:pPr>
        <w:rPr>
          <w:sz w:val="22"/>
          <w:szCs w:val="22"/>
        </w:rPr>
      </w:pPr>
      <w:r w:rsidRPr="00512397">
        <w:rPr>
          <w:sz w:val="22"/>
          <w:szCs w:val="22"/>
        </w:rPr>
        <w:t xml:space="preserve">This program narrative </w:t>
      </w:r>
      <w:r>
        <w:rPr>
          <w:sz w:val="22"/>
          <w:szCs w:val="22"/>
        </w:rPr>
        <w:t xml:space="preserve">overview </w:t>
      </w:r>
      <w:r w:rsidRPr="00512397">
        <w:rPr>
          <w:sz w:val="22"/>
          <w:szCs w:val="22"/>
        </w:rPr>
        <w:t xml:space="preserve">outlines </w:t>
      </w:r>
      <w:r>
        <w:rPr>
          <w:sz w:val="22"/>
          <w:szCs w:val="22"/>
        </w:rPr>
        <w:t xml:space="preserve">a brief description of </w:t>
      </w:r>
      <w:r w:rsidRPr="00512397">
        <w:rPr>
          <w:sz w:val="22"/>
          <w:szCs w:val="22"/>
        </w:rPr>
        <w:t>North Carolina’s plan to implement this Program, including developing objectives and metrics that: address resilience against all-hazards including mitigating climate-related risk, economic development, and advancing energy justice; describe the criteria and methods on sub-awarding funds to eligible entities; and propose funding distributions. Program objectives, metrics, and criteria are based on the North Carolina Clean Energy Plan (CEP)</w:t>
      </w:r>
      <w:r>
        <w:rPr>
          <w:sz w:val="22"/>
          <w:szCs w:val="22"/>
        </w:rPr>
        <w:t>.</w:t>
      </w:r>
    </w:p>
    <w:p w14:paraId="258092F4" w14:textId="509273CE" w:rsidR="00512397" w:rsidRDefault="00512397" w:rsidP="00512397">
      <w:pPr>
        <w:rPr>
          <w:sz w:val="22"/>
          <w:szCs w:val="22"/>
        </w:rPr>
      </w:pPr>
    </w:p>
    <w:p w14:paraId="5A791A88" w14:textId="77777777" w:rsidR="00512397" w:rsidRDefault="00512397" w:rsidP="00512397">
      <w:pPr>
        <w:jc w:val="both"/>
        <w:rPr>
          <w:sz w:val="22"/>
          <w:szCs w:val="22"/>
        </w:rPr>
      </w:pPr>
      <w:r>
        <w:rPr>
          <w:sz w:val="22"/>
          <w:szCs w:val="22"/>
        </w:rPr>
        <w:t>A summary table of the provisional objectives and metrics that North Carolina will use as guidance to fund DOE resiliency projects is below:</w:t>
      </w:r>
    </w:p>
    <w:p w14:paraId="72FBBE40" w14:textId="77777777" w:rsidR="00512397" w:rsidRDefault="00512397" w:rsidP="00512397">
      <w:pPr>
        <w:rPr>
          <w:sz w:val="22"/>
          <w:szCs w:val="22"/>
        </w:rPr>
      </w:pPr>
    </w:p>
    <w:p w14:paraId="6147B956" w14:textId="692E39FB" w:rsidR="00512397" w:rsidRDefault="00512397" w:rsidP="00512397">
      <w:pPr>
        <w:rPr>
          <w:sz w:val="22"/>
          <w:szCs w:val="22"/>
        </w:rPr>
      </w:pPr>
      <w:r w:rsidRPr="3BD56856">
        <w:rPr>
          <w:b/>
          <w:bCs/>
          <w:sz w:val="22"/>
          <w:szCs w:val="22"/>
        </w:rPr>
        <w:t>Table 2.</w:t>
      </w:r>
      <w:r w:rsidRPr="3BD56856">
        <w:rPr>
          <w:sz w:val="22"/>
          <w:szCs w:val="22"/>
        </w:rPr>
        <w:t xml:space="preserve"> Provisional Objectives and Metrics for Project Proposals</w:t>
      </w:r>
    </w:p>
    <w:tbl>
      <w:tblPr>
        <w:tblStyle w:val="TableGrid"/>
        <w:tblW w:w="0" w:type="auto"/>
        <w:tblLayout w:type="fixed"/>
        <w:tblLook w:val="04A0" w:firstRow="1" w:lastRow="0" w:firstColumn="1" w:lastColumn="0" w:noHBand="0" w:noVBand="1"/>
      </w:tblPr>
      <w:tblGrid>
        <w:gridCol w:w="2490"/>
        <w:gridCol w:w="6840"/>
      </w:tblGrid>
      <w:tr w:rsidR="3BD56856" w14:paraId="26C5EF8A" w14:textId="77777777" w:rsidTr="3BD56856">
        <w:trPr>
          <w:trHeight w:val="330"/>
        </w:trPr>
        <w:tc>
          <w:tcPr>
            <w:tcW w:w="2490" w:type="dxa"/>
            <w:vMerge w:val="restart"/>
            <w:tcMar>
              <w:left w:w="105" w:type="dxa"/>
              <w:right w:w="105" w:type="dxa"/>
            </w:tcMar>
            <w:vAlign w:val="center"/>
          </w:tcPr>
          <w:p w14:paraId="31488D4A" w14:textId="42C876C2" w:rsidR="3BD56856" w:rsidRDefault="3BD56856" w:rsidP="3BD56856">
            <w:pPr>
              <w:rPr>
                <w:rFonts w:ascii="Calibri" w:eastAsia="Calibri" w:hAnsi="Calibri" w:cs="Calibri"/>
                <w:color w:val="000000" w:themeColor="text1"/>
                <w:sz w:val="22"/>
                <w:szCs w:val="22"/>
              </w:rPr>
            </w:pPr>
          </w:p>
          <w:p w14:paraId="0AC17460" w14:textId="12E2AECD" w:rsidR="3BD56856" w:rsidRDefault="3BD56856" w:rsidP="3BD56856">
            <w:pPr>
              <w:rPr>
                <w:rFonts w:ascii="Calibri" w:eastAsia="Calibri" w:hAnsi="Calibri" w:cs="Calibri"/>
                <w:color w:val="000000" w:themeColor="text1"/>
                <w:sz w:val="22"/>
                <w:szCs w:val="22"/>
              </w:rPr>
            </w:pPr>
            <w:r w:rsidRPr="3BD56856">
              <w:rPr>
                <w:rFonts w:ascii="Calibri" w:eastAsia="Calibri" w:hAnsi="Calibri" w:cs="Calibri"/>
                <w:b/>
                <w:bCs/>
                <w:color w:val="000000" w:themeColor="text1"/>
                <w:sz w:val="22"/>
                <w:szCs w:val="22"/>
              </w:rPr>
              <w:t>Objective 1. Grid Modernization.</w:t>
            </w:r>
            <w:r w:rsidRPr="3BD56856">
              <w:rPr>
                <w:rFonts w:ascii="Calibri" w:eastAsia="Calibri" w:hAnsi="Calibri" w:cs="Calibri"/>
                <w:color w:val="000000" w:themeColor="text1"/>
                <w:sz w:val="22"/>
                <w:szCs w:val="22"/>
              </w:rPr>
              <w:t xml:space="preserve"> Addition of grid technologies that strengthen resilience and increase the flexibility of the grid.</w:t>
            </w:r>
          </w:p>
        </w:tc>
        <w:tc>
          <w:tcPr>
            <w:tcW w:w="6840" w:type="dxa"/>
            <w:tcMar>
              <w:left w:w="105" w:type="dxa"/>
              <w:right w:w="105" w:type="dxa"/>
            </w:tcMar>
          </w:tcPr>
          <w:p w14:paraId="59A50670" w14:textId="2B39552E" w:rsidR="3BD56856" w:rsidRDefault="3BD56856" w:rsidP="3BD56856">
            <w:pPr>
              <w:spacing w:line="276" w:lineRule="auto"/>
              <w:rPr>
                <w:rFonts w:ascii="Calibri" w:eastAsia="Calibri" w:hAnsi="Calibri" w:cs="Calibri"/>
                <w:color w:val="000000" w:themeColor="text1"/>
                <w:sz w:val="22"/>
                <w:szCs w:val="22"/>
              </w:rPr>
            </w:pPr>
            <w:r w:rsidRPr="3BD56856">
              <w:rPr>
                <w:rFonts w:ascii="Calibri" w:eastAsia="Calibri" w:hAnsi="Calibri" w:cs="Calibri"/>
                <w:color w:val="000000" w:themeColor="text1"/>
                <w:sz w:val="22"/>
                <w:szCs w:val="22"/>
              </w:rPr>
              <w:t>Type of hazard addressed</w:t>
            </w:r>
          </w:p>
        </w:tc>
      </w:tr>
      <w:tr w:rsidR="3BD56856" w14:paraId="1A362674" w14:textId="77777777" w:rsidTr="3BD56856">
        <w:trPr>
          <w:trHeight w:val="300"/>
        </w:trPr>
        <w:tc>
          <w:tcPr>
            <w:tcW w:w="2490" w:type="dxa"/>
            <w:vMerge/>
            <w:vAlign w:val="center"/>
          </w:tcPr>
          <w:p w14:paraId="37AEE461" w14:textId="77777777" w:rsidR="009C400E" w:rsidRDefault="009C400E"/>
        </w:tc>
        <w:tc>
          <w:tcPr>
            <w:tcW w:w="6840" w:type="dxa"/>
            <w:tcMar>
              <w:left w:w="105" w:type="dxa"/>
              <w:right w:w="105" w:type="dxa"/>
            </w:tcMar>
          </w:tcPr>
          <w:p w14:paraId="17CA800B" w14:textId="745495AF" w:rsidR="3BD56856" w:rsidRDefault="3BD56856" w:rsidP="3BD56856">
            <w:pPr>
              <w:spacing w:line="276" w:lineRule="auto"/>
              <w:rPr>
                <w:rFonts w:ascii="Calibri" w:eastAsia="Calibri" w:hAnsi="Calibri" w:cs="Calibri"/>
                <w:color w:val="000000" w:themeColor="text1"/>
                <w:sz w:val="22"/>
                <w:szCs w:val="22"/>
              </w:rPr>
            </w:pPr>
            <w:r w:rsidRPr="3BD56856">
              <w:rPr>
                <w:rFonts w:ascii="Calibri" w:eastAsia="Calibri" w:hAnsi="Calibri" w:cs="Calibri"/>
                <w:color w:val="000000" w:themeColor="text1"/>
                <w:sz w:val="22"/>
                <w:szCs w:val="22"/>
              </w:rPr>
              <w:t>Number of projects funded by measure type</w:t>
            </w:r>
          </w:p>
        </w:tc>
      </w:tr>
      <w:tr w:rsidR="3BD56856" w14:paraId="6B5FBEAF" w14:textId="77777777" w:rsidTr="3BD56856">
        <w:trPr>
          <w:trHeight w:val="300"/>
        </w:trPr>
        <w:tc>
          <w:tcPr>
            <w:tcW w:w="2490" w:type="dxa"/>
            <w:vMerge/>
            <w:vAlign w:val="center"/>
          </w:tcPr>
          <w:p w14:paraId="68966811" w14:textId="77777777" w:rsidR="009C400E" w:rsidRDefault="009C400E"/>
        </w:tc>
        <w:tc>
          <w:tcPr>
            <w:tcW w:w="6840" w:type="dxa"/>
            <w:tcMar>
              <w:left w:w="105" w:type="dxa"/>
              <w:right w:w="105" w:type="dxa"/>
            </w:tcMar>
          </w:tcPr>
          <w:p w14:paraId="673CB7F0" w14:textId="273ADDFF" w:rsidR="3BD56856" w:rsidRDefault="3BD56856" w:rsidP="3BD56856">
            <w:pPr>
              <w:spacing w:line="276" w:lineRule="auto"/>
              <w:rPr>
                <w:rFonts w:ascii="Calibri" w:eastAsia="Calibri" w:hAnsi="Calibri" w:cs="Calibri"/>
                <w:color w:val="000000" w:themeColor="text1"/>
                <w:sz w:val="22"/>
                <w:szCs w:val="22"/>
              </w:rPr>
            </w:pPr>
            <w:r w:rsidRPr="3BD56856">
              <w:rPr>
                <w:rFonts w:ascii="Calibri" w:eastAsia="Calibri" w:hAnsi="Calibri" w:cs="Calibri"/>
                <w:color w:val="000000" w:themeColor="text1"/>
                <w:sz w:val="22"/>
                <w:szCs w:val="22"/>
              </w:rPr>
              <w:t>Number and type of critical infrastructure supported</w:t>
            </w:r>
          </w:p>
        </w:tc>
      </w:tr>
      <w:tr w:rsidR="3BD56856" w14:paraId="36A88090" w14:textId="77777777" w:rsidTr="3BD56856">
        <w:trPr>
          <w:trHeight w:val="300"/>
        </w:trPr>
        <w:tc>
          <w:tcPr>
            <w:tcW w:w="2490" w:type="dxa"/>
            <w:vMerge/>
            <w:vAlign w:val="center"/>
          </w:tcPr>
          <w:p w14:paraId="0A1E41C8" w14:textId="77777777" w:rsidR="009C400E" w:rsidRDefault="009C400E"/>
        </w:tc>
        <w:tc>
          <w:tcPr>
            <w:tcW w:w="6840" w:type="dxa"/>
            <w:tcMar>
              <w:left w:w="105" w:type="dxa"/>
              <w:right w:w="105" w:type="dxa"/>
            </w:tcMar>
          </w:tcPr>
          <w:p w14:paraId="62609A11" w14:textId="1D84D6B2" w:rsidR="3BD56856" w:rsidRDefault="3BD56856" w:rsidP="3BD56856">
            <w:pPr>
              <w:spacing w:line="276" w:lineRule="auto"/>
              <w:rPr>
                <w:rFonts w:ascii="Calibri" w:eastAsia="Calibri" w:hAnsi="Calibri" w:cs="Calibri"/>
                <w:color w:val="000000" w:themeColor="text1"/>
                <w:sz w:val="22"/>
                <w:szCs w:val="22"/>
              </w:rPr>
            </w:pPr>
            <w:r w:rsidRPr="3BD56856">
              <w:rPr>
                <w:rFonts w:ascii="Calibri" w:eastAsia="Calibri" w:hAnsi="Calibri" w:cs="Calibri"/>
                <w:color w:val="000000" w:themeColor="text1"/>
                <w:sz w:val="22"/>
                <w:szCs w:val="22"/>
              </w:rPr>
              <w:t>Number and type of projects located in areas with frequent energy disruptions</w:t>
            </w:r>
          </w:p>
        </w:tc>
      </w:tr>
      <w:tr w:rsidR="3BD56856" w14:paraId="0B3FFCAE" w14:textId="77777777" w:rsidTr="3BD56856">
        <w:trPr>
          <w:trHeight w:val="300"/>
        </w:trPr>
        <w:tc>
          <w:tcPr>
            <w:tcW w:w="2490" w:type="dxa"/>
            <w:vMerge/>
            <w:vAlign w:val="center"/>
          </w:tcPr>
          <w:p w14:paraId="5513C2F2" w14:textId="77777777" w:rsidR="009C400E" w:rsidRDefault="009C400E"/>
        </w:tc>
        <w:tc>
          <w:tcPr>
            <w:tcW w:w="6840" w:type="dxa"/>
            <w:tcMar>
              <w:left w:w="105" w:type="dxa"/>
              <w:right w:w="105" w:type="dxa"/>
            </w:tcMar>
          </w:tcPr>
          <w:p w14:paraId="3A0CA5B7" w14:textId="1390835F" w:rsidR="3BD56856" w:rsidRDefault="3BD56856" w:rsidP="3BD56856">
            <w:pPr>
              <w:spacing w:line="276" w:lineRule="auto"/>
              <w:rPr>
                <w:rFonts w:ascii="Calibri" w:eastAsia="Calibri" w:hAnsi="Calibri" w:cs="Calibri"/>
                <w:color w:val="000000" w:themeColor="text1"/>
                <w:sz w:val="22"/>
                <w:szCs w:val="22"/>
              </w:rPr>
            </w:pPr>
            <w:r w:rsidRPr="3BD56856">
              <w:rPr>
                <w:rFonts w:ascii="Calibri" w:eastAsia="Calibri" w:hAnsi="Calibri" w:cs="Calibri"/>
                <w:color w:val="000000" w:themeColor="text1"/>
                <w:sz w:val="22"/>
                <w:szCs w:val="22"/>
              </w:rPr>
              <w:t>Frequency of outages, including but not limited to: Customer Average Interruption Duration Index (CAIDI), Customers Experiencing Multiple Interruptions (CEMI), and Long Interruption Durations (CELID)</w:t>
            </w:r>
          </w:p>
        </w:tc>
      </w:tr>
      <w:tr w:rsidR="3BD56856" w14:paraId="2C694B24" w14:textId="77777777" w:rsidTr="3BD56856">
        <w:trPr>
          <w:trHeight w:val="300"/>
        </w:trPr>
        <w:tc>
          <w:tcPr>
            <w:tcW w:w="2490" w:type="dxa"/>
            <w:vMerge/>
            <w:vAlign w:val="center"/>
          </w:tcPr>
          <w:p w14:paraId="5940B5A9" w14:textId="77777777" w:rsidR="009C400E" w:rsidRDefault="009C400E"/>
        </w:tc>
        <w:tc>
          <w:tcPr>
            <w:tcW w:w="6840" w:type="dxa"/>
            <w:tcMar>
              <w:left w:w="105" w:type="dxa"/>
              <w:right w:w="105" w:type="dxa"/>
            </w:tcMar>
          </w:tcPr>
          <w:p w14:paraId="62F515C4" w14:textId="04897694" w:rsidR="3BD56856" w:rsidRDefault="3BD56856" w:rsidP="3BD56856">
            <w:pPr>
              <w:spacing w:line="276" w:lineRule="auto"/>
              <w:rPr>
                <w:rFonts w:ascii="Calibri" w:eastAsia="Calibri" w:hAnsi="Calibri" w:cs="Calibri"/>
                <w:color w:val="000000" w:themeColor="text1"/>
                <w:sz w:val="22"/>
                <w:szCs w:val="22"/>
              </w:rPr>
            </w:pPr>
            <w:r w:rsidRPr="3BD56856">
              <w:rPr>
                <w:rFonts w:ascii="Calibri" w:eastAsia="Calibri" w:hAnsi="Calibri" w:cs="Calibri"/>
                <w:color w:val="000000" w:themeColor="text1"/>
                <w:sz w:val="22"/>
                <w:szCs w:val="22"/>
              </w:rPr>
              <w:t>Number of consumers anticipated to benefit from the project, including low-income customers</w:t>
            </w:r>
          </w:p>
        </w:tc>
      </w:tr>
      <w:tr w:rsidR="3BD56856" w14:paraId="61794CE1" w14:textId="77777777" w:rsidTr="3BD56856">
        <w:trPr>
          <w:trHeight w:val="300"/>
        </w:trPr>
        <w:tc>
          <w:tcPr>
            <w:tcW w:w="2490" w:type="dxa"/>
            <w:vMerge/>
            <w:vAlign w:val="center"/>
          </w:tcPr>
          <w:p w14:paraId="6120BCCC" w14:textId="77777777" w:rsidR="009C400E" w:rsidRDefault="009C400E"/>
        </w:tc>
        <w:tc>
          <w:tcPr>
            <w:tcW w:w="6840" w:type="dxa"/>
            <w:tcMar>
              <w:left w:w="105" w:type="dxa"/>
              <w:right w:w="105" w:type="dxa"/>
            </w:tcMar>
          </w:tcPr>
          <w:p w14:paraId="42535808" w14:textId="48A94E1B" w:rsidR="3BD56856" w:rsidRDefault="3BD56856" w:rsidP="3BD56856">
            <w:pPr>
              <w:spacing w:line="276" w:lineRule="auto"/>
              <w:rPr>
                <w:rFonts w:ascii="Calibri" w:eastAsia="Calibri" w:hAnsi="Calibri" w:cs="Calibri"/>
                <w:color w:val="000000" w:themeColor="text1"/>
                <w:sz w:val="22"/>
                <w:szCs w:val="22"/>
              </w:rPr>
            </w:pPr>
            <w:r w:rsidRPr="3BD56856">
              <w:rPr>
                <w:rFonts w:ascii="Calibri" w:eastAsia="Calibri" w:hAnsi="Calibri" w:cs="Calibri"/>
                <w:color w:val="000000" w:themeColor="text1"/>
                <w:sz w:val="22"/>
                <w:szCs w:val="22"/>
              </w:rPr>
              <w:t>Number of workers trained to operate and maintain the resilience project once completed</w:t>
            </w:r>
          </w:p>
        </w:tc>
      </w:tr>
      <w:tr w:rsidR="3BD56856" w14:paraId="1D5E6270" w14:textId="77777777" w:rsidTr="3BD56856">
        <w:trPr>
          <w:trHeight w:val="300"/>
        </w:trPr>
        <w:tc>
          <w:tcPr>
            <w:tcW w:w="2490" w:type="dxa"/>
            <w:vMerge w:val="restart"/>
            <w:tcMar>
              <w:left w:w="105" w:type="dxa"/>
              <w:right w:w="105" w:type="dxa"/>
            </w:tcMar>
            <w:vAlign w:val="center"/>
          </w:tcPr>
          <w:p w14:paraId="3D68A511" w14:textId="68D315B2" w:rsidR="3BD56856" w:rsidRDefault="3BD56856" w:rsidP="3BD56856">
            <w:pPr>
              <w:rPr>
                <w:rFonts w:ascii="Calibri" w:eastAsia="Calibri" w:hAnsi="Calibri" w:cs="Calibri"/>
                <w:color w:val="000000" w:themeColor="text1"/>
                <w:sz w:val="22"/>
                <w:szCs w:val="22"/>
              </w:rPr>
            </w:pPr>
            <w:r w:rsidRPr="3BD56856">
              <w:rPr>
                <w:rFonts w:ascii="Calibri" w:eastAsia="Calibri" w:hAnsi="Calibri" w:cs="Calibri"/>
                <w:b/>
                <w:bCs/>
                <w:color w:val="000000" w:themeColor="text1"/>
                <w:sz w:val="22"/>
                <w:szCs w:val="22"/>
              </w:rPr>
              <w:t>Objective 2. Equitable Access to Resilient &amp; Reliable Energy.</w:t>
            </w:r>
            <w:r w:rsidRPr="3BD56856">
              <w:rPr>
                <w:rFonts w:ascii="Calibri" w:eastAsia="Calibri" w:hAnsi="Calibri" w:cs="Calibri"/>
                <w:color w:val="000000" w:themeColor="text1"/>
                <w:sz w:val="22"/>
                <w:szCs w:val="22"/>
              </w:rPr>
              <w:t xml:space="preserve"> Projects that will improve energy reliability and resiliency in disadvantaged communities, which are more impacted by outages and subject to higher energy burdens.</w:t>
            </w:r>
          </w:p>
        </w:tc>
        <w:tc>
          <w:tcPr>
            <w:tcW w:w="6840" w:type="dxa"/>
            <w:tcMar>
              <w:left w:w="105" w:type="dxa"/>
              <w:right w:w="105" w:type="dxa"/>
            </w:tcMar>
          </w:tcPr>
          <w:p w14:paraId="008906CB" w14:textId="2FE80329" w:rsidR="3BD56856" w:rsidRDefault="3BD56856" w:rsidP="3BD56856">
            <w:pPr>
              <w:rPr>
                <w:rFonts w:ascii="Calibri" w:eastAsia="Calibri" w:hAnsi="Calibri" w:cs="Calibri"/>
                <w:color w:val="000000" w:themeColor="text1"/>
                <w:sz w:val="22"/>
                <w:szCs w:val="22"/>
              </w:rPr>
            </w:pPr>
            <w:r w:rsidRPr="3BD56856">
              <w:rPr>
                <w:rFonts w:ascii="Calibri" w:eastAsia="Calibri" w:hAnsi="Calibri" w:cs="Calibri"/>
                <w:color w:val="000000" w:themeColor="text1"/>
                <w:sz w:val="22"/>
                <w:szCs w:val="22"/>
              </w:rPr>
              <w:t>Number and size (MWh) of community resilience infrastructure deployed in DACs</w:t>
            </w:r>
          </w:p>
        </w:tc>
      </w:tr>
      <w:tr w:rsidR="3BD56856" w14:paraId="6BF2362F" w14:textId="77777777" w:rsidTr="3BD56856">
        <w:trPr>
          <w:trHeight w:val="300"/>
        </w:trPr>
        <w:tc>
          <w:tcPr>
            <w:tcW w:w="2490" w:type="dxa"/>
            <w:vMerge/>
            <w:vAlign w:val="center"/>
          </w:tcPr>
          <w:p w14:paraId="1AC2F9E0" w14:textId="77777777" w:rsidR="009C400E" w:rsidRDefault="009C400E"/>
        </w:tc>
        <w:tc>
          <w:tcPr>
            <w:tcW w:w="6840" w:type="dxa"/>
            <w:tcMar>
              <w:left w:w="105" w:type="dxa"/>
              <w:right w:w="105" w:type="dxa"/>
            </w:tcMar>
          </w:tcPr>
          <w:p w14:paraId="5FD203E9" w14:textId="0B8A11CD" w:rsidR="3BD56856" w:rsidRDefault="3BD56856" w:rsidP="3BD56856">
            <w:pPr>
              <w:spacing w:line="259" w:lineRule="auto"/>
              <w:rPr>
                <w:rFonts w:ascii="Calibri" w:eastAsia="Calibri" w:hAnsi="Calibri" w:cs="Calibri"/>
                <w:color w:val="000000" w:themeColor="text1"/>
                <w:sz w:val="22"/>
                <w:szCs w:val="22"/>
              </w:rPr>
            </w:pPr>
            <w:r w:rsidRPr="3BD56856">
              <w:rPr>
                <w:rFonts w:ascii="Calibri" w:eastAsia="Calibri" w:hAnsi="Calibri" w:cs="Calibri"/>
                <w:color w:val="000000" w:themeColor="text1"/>
                <w:sz w:val="22"/>
                <w:szCs w:val="22"/>
              </w:rPr>
              <w:t>Number of DACs in project area and percent of LMI households within the project area</w:t>
            </w:r>
          </w:p>
        </w:tc>
      </w:tr>
      <w:tr w:rsidR="3BD56856" w14:paraId="3C8DCC94" w14:textId="77777777" w:rsidTr="3BD56856">
        <w:trPr>
          <w:trHeight w:val="300"/>
        </w:trPr>
        <w:tc>
          <w:tcPr>
            <w:tcW w:w="2490" w:type="dxa"/>
            <w:vMerge/>
            <w:vAlign w:val="center"/>
          </w:tcPr>
          <w:p w14:paraId="4473343E" w14:textId="77777777" w:rsidR="009C400E" w:rsidRDefault="009C400E"/>
        </w:tc>
        <w:tc>
          <w:tcPr>
            <w:tcW w:w="6840" w:type="dxa"/>
            <w:tcMar>
              <w:left w:w="105" w:type="dxa"/>
              <w:right w:w="105" w:type="dxa"/>
            </w:tcMar>
          </w:tcPr>
          <w:p w14:paraId="4EC658FB" w14:textId="24F854E4" w:rsidR="3BD56856" w:rsidRDefault="3BD56856" w:rsidP="3BD56856">
            <w:pPr>
              <w:spacing w:line="259" w:lineRule="auto"/>
              <w:rPr>
                <w:rFonts w:ascii="Calibri" w:eastAsia="Calibri" w:hAnsi="Calibri" w:cs="Calibri"/>
                <w:color w:val="000000" w:themeColor="text1"/>
                <w:sz w:val="22"/>
                <w:szCs w:val="22"/>
              </w:rPr>
            </w:pPr>
            <w:r w:rsidRPr="3BD56856">
              <w:rPr>
                <w:rFonts w:ascii="Calibri" w:eastAsia="Calibri" w:hAnsi="Calibri" w:cs="Calibri"/>
                <w:color w:val="000000" w:themeColor="text1"/>
                <w:sz w:val="22"/>
                <w:szCs w:val="22"/>
              </w:rPr>
              <w:t>Estimated dollars saved [$] in energy expenditures due to resilient technology adoption in DACs</w:t>
            </w:r>
          </w:p>
        </w:tc>
      </w:tr>
      <w:tr w:rsidR="3BD56856" w14:paraId="69042F7D" w14:textId="77777777" w:rsidTr="3BD56856">
        <w:trPr>
          <w:trHeight w:val="300"/>
        </w:trPr>
        <w:tc>
          <w:tcPr>
            <w:tcW w:w="2490" w:type="dxa"/>
            <w:vMerge/>
            <w:vAlign w:val="center"/>
          </w:tcPr>
          <w:p w14:paraId="40D2CE77" w14:textId="77777777" w:rsidR="009C400E" w:rsidRDefault="009C400E"/>
        </w:tc>
        <w:tc>
          <w:tcPr>
            <w:tcW w:w="6840" w:type="dxa"/>
            <w:tcMar>
              <w:left w:w="105" w:type="dxa"/>
              <w:right w:w="105" w:type="dxa"/>
            </w:tcMar>
          </w:tcPr>
          <w:p w14:paraId="1179D125" w14:textId="6E7346B8" w:rsidR="3BD56856" w:rsidRDefault="3BD56856" w:rsidP="3BD56856">
            <w:pPr>
              <w:spacing w:line="259" w:lineRule="auto"/>
              <w:rPr>
                <w:rFonts w:ascii="Calibri" w:eastAsia="Calibri" w:hAnsi="Calibri" w:cs="Calibri"/>
                <w:color w:val="000000" w:themeColor="text1"/>
                <w:sz w:val="22"/>
                <w:szCs w:val="22"/>
              </w:rPr>
            </w:pPr>
            <w:r w:rsidRPr="3BD56856">
              <w:rPr>
                <w:rFonts w:ascii="Calibri" w:eastAsia="Calibri" w:hAnsi="Calibri" w:cs="Calibri"/>
                <w:color w:val="000000" w:themeColor="text1"/>
                <w:sz w:val="22"/>
                <w:szCs w:val="22"/>
              </w:rPr>
              <w:t>Frequency (occurrences per year) pf electricity service disruptions of one hour or more to DACs</w:t>
            </w:r>
          </w:p>
        </w:tc>
      </w:tr>
      <w:tr w:rsidR="3BD56856" w14:paraId="0CF01CB3" w14:textId="77777777" w:rsidTr="3BD56856">
        <w:trPr>
          <w:trHeight w:val="300"/>
        </w:trPr>
        <w:tc>
          <w:tcPr>
            <w:tcW w:w="2490" w:type="dxa"/>
            <w:vMerge/>
            <w:vAlign w:val="center"/>
          </w:tcPr>
          <w:p w14:paraId="031B5265" w14:textId="77777777" w:rsidR="009C400E" w:rsidRDefault="009C400E"/>
        </w:tc>
        <w:tc>
          <w:tcPr>
            <w:tcW w:w="6840" w:type="dxa"/>
            <w:tcMar>
              <w:left w:w="105" w:type="dxa"/>
              <w:right w:w="105" w:type="dxa"/>
            </w:tcMar>
          </w:tcPr>
          <w:p w14:paraId="56A41AF4" w14:textId="6ABCCDD1" w:rsidR="3BD56856" w:rsidRDefault="3BD56856" w:rsidP="3BD56856">
            <w:pPr>
              <w:spacing w:line="259" w:lineRule="auto"/>
              <w:rPr>
                <w:rFonts w:ascii="Calibri" w:eastAsia="Calibri" w:hAnsi="Calibri" w:cs="Calibri"/>
                <w:color w:val="000000" w:themeColor="text1"/>
                <w:sz w:val="22"/>
                <w:szCs w:val="22"/>
              </w:rPr>
            </w:pPr>
            <w:r w:rsidRPr="3BD56856">
              <w:rPr>
                <w:rFonts w:ascii="Calibri" w:eastAsia="Calibri" w:hAnsi="Calibri" w:cs="Calibri"/>
                <w:color w:val="000000" w:themeColor="text1"/>
                <w:sz w:val="22"/>
                <w:szCs w:val="22"/>
              </w:rPr>
              <w:t>Number and type of weather events resulting in outages (hurricanes, floods, and extreme temperature conditions) in project area over the last 5 years</w:t>
            </w:r>
          </w:p>
        </w:tc>
      </w:tr>
      <w:tr w:rsidR="3BD56856" w14:paraId="2BC5E49D" w14:textId="77777777" w:rsidTr="3BD56856">
        <w:trPr>
          <w:trHeight w:val="300"/>
        </w:trPr>
        <w:tc>
          <w:tcPr>
            <w:tcW w:w="2490" w:type="dxa"/>
            <w:vMerge/>
            <w:vAlign w:val="center"/>
          </w:tcPr>
          <w:p w14:paraId="13EDCFEF" w14:textId="77777777" w:rsidR="009C400E" w:rsidRDefault="009C400E"/>
        </w:tc>
        <w:tc>
          <w:tcPr>
            <w:tcW w:w="6840" w:type="dxa"/>
            <w:tcMar>
              <w:left w:w="105" w:type="dxa"/>
              <w:right w:w="105" w:type="dxa"/>
            </w:tcMar>
          </w:tcPr>
          <w:p w14:paraId="57C455BE" w14:textId="1B132D31" w:rsidR="3BD56856" w:rsidRDefault="3BD56856" w:rsidP="3BD56856">
            <w:pPr>
              <w:spacing w:line="259" w:lineRule="auto"/>
              <w:rPr>
                <w:rFonts w:ascii="Calibri" w:eastAsia="Calibri" w:hAnsi="Calibri" w:cs="Calibri"/>
                <w:color w:val="000000" w:themeColor="text1"/>
                <w:sz w:val="22"/>
                <w:szCs w:val="22"/>
              </w:rPr>
            </w:pPr>
            <w:r w:rsidRPr="3BD56856">
              <w:rPr>
                <w:rFonts w:ascii="Calibri" w:eastAsia="Calibri" w:hAnsi="Calibri" w:cs="Calibri"/>
                <w:color w:val="000000" w:themeColor="text1"/>
                <w:sz w:val="22"/>
                <w:szCs w:val="22"/>
              </w:rPr>
              <w:t>Impacts on surface water, groundwater, and soil in DACs</w:t>
            </w:r>
            <w:r w:rsidRPr="3BD56856">
              <w:rPr>
                <w:rFonts w:ascii="Calibri" w:eastAsia="Calibri" w:hAnsi="Calibri" w:cs="Calibri"/>
                <w:b/>
                <w:bCs/>
                <w:color w:val="000000" w:themeColor="text1"/>
                <w:sz w:val="22"/>
                <w:szCs w:val="22"/>
              </w:rPr>
              <w:t xml:space="preserve"> </w:t>
            </w:r>
          </w:p>
        </w:tc>
      </w:tr>
      <w:tr w:rsidR="3BD56856" w14:paraId="74FDA8A7" w14:textId="77777777" w:rsidTr="3BD56856">
        <w:trPr>
          <w:trHeight w:val="300"/>
        </w:trPr>
        <w:tc>
          <w:tcPr>
            <w:tcW w:w="2490" w:type="dxa"/>
            <w:vMerge/>
            <w:vAlign w:val="center"/>
          </w:tcPr>
          <w:p w14:paraId="5F92DC9E" w14:textId="77777777" w:rsidR="009C400E" w:rsidRDefault="009C400E"/>
        </w:tc>
        <w:tc>
          <w:tcPr>
            <w:tcW w:w="6840" w:type="dxa"/>
            <w:tcMar>
              <w:left w:w="105" w:type="dxa"/>
              <w:right w:w="105" w:type="dxa"/>
            </w:tcMar>
          </w:tcPr>
          <w:p w14:paraId="5012CCA5" w14:textId="54729C87" w:rsidR="3BD56856" w:rsidRDefault="3BD56856" w:rsidP="3BD56856">
            <w:pPr>
              <w:spacing w:line="259" w:lineRule="auto"/>
              <w:rPr>
                <w:rFonts w:ascii="Calibri" w:eastAsia="Calibri" w:hAnsi="Calibri" w:cs="Calibri"/>
                <w:color w:val="000000" w:themeColor="text1"/>
                <w:sz w:val="22"/>
                <w:szCs w:val="22"/>
              </w:rPr>
            </w:pPr>
            <w:r w:rsidRPr="3BD56856">
              <w:rPr>
                <w:rFonts w:ascii="Calibri" w:eastAsia="Calibri" w:hAnsi="Calibri" w:cs="Calibri"/>
                <w:color w:val="000000" w:themeColor="text1"/>
                <w:sz w:val="22"/>
                <w:szCs w:val="22"/>
              </w:rPr>
              <w:t>Number and type of critical facilities receiving improved ability to provide services without grid power</w:t>
            </w:r>
          </w:p>
        </w:tc>
      </w:tr>
      <w:tr w:rsidR="3BD56856" w14:paraId="0EAF7EA4" w14:textId="77777777" w:rsidTr="3BD56856">
        <w:trPr>
          <w:trHeight w:val="300"/>
        </w:trPr>
        <w:tc>
          <w:tcPr>
            <w:tcW w:w="2490" w:type="dxa"/>
            <w:vMerge/>
            <w:vAlign w:val="center"/>
          </w:tcPr>
          <w:p w14:paraId="2EDCBEA4" w14:textId="77777777" w:rsidR="009C400E" w:rsidRDefault="009C400E"/>
        </w:tc>
        <w:tc>
          <w:tcPr>
            <w:tcW w:w="6840" w:type="dxa"/>
            <w:tcMar>
              <w:left w:w="105" w:type="dxa"/>
              <w:right w:w="105" w:type="dxa"/>
            </w:tcMar>
          </w:tcPr>
          <w:p w14:paraId="2285E7C7" w14:textId="095E1B5A" w:rsidR="3BD56856" w:rsidRDefault="3BD56856" w:rsidP="3BD56856">
            <w:pPr>
              <w:spacing w:line="259" w:lineRule="auto"/>
              <w:rPr>
                <w:rFonts w:ascii="Calibri" w:eastAsia="Calibri" w:hAnsi="Calibri" w:cs="Calibri"/>
                <w:color w:val="000000" w:themeColor="text1"/>
                <w:sz w:val="22"/>
                <w:szCs w:val="22"/>
              </w:rPr>
            </w:pPr>
            <w:r w:rsidRPr="3BD56856">
              <w:rPr>
                <w:rFonts w:ascii="Calibri" w:eastAsia="Calibri" w:hAnsi="Calibri" w:cs="Calibri"/>
                <w:color w:val="000000" w:themeColor="text1"/>
                <w:sz w:val="22"/>
                <w:szCs w:val="22"/>
              </w:rPr>
              <w:t>Number of hours/days critical facilities are closed due to lack of electricity</w:t>
            </w:r>
          </w:p>
        </w:tc>
      </w:tr>
      <w:tr w:rsidR="3BD56856" w14:paraId="4B253163" w14:textId="77777777" w:rsidTr="3BD56856">
        <w:trPr>
          <w:trHeight w:val="300"/>
        </w:trPr>
        <w:tc>
          <w:tcPr>
            <w:tcW w:w="2490" w:type="dxa"/>
            <w:vMerge w:val="restart"/>
            <w:tcMar>
              <w:left w:w="105" w:type="dxa"/>
              <w:right w:w="105" w:type="dxa"/>
            </w:tcMar>
            <w:vAlign w:val="center"/>
          </w:tcPr>
          <w:p w14:paraId="02A761F8" w14:textId="6B5B4384" w:rsidR="3BD56856" w:rsidRDefault="3BD56856" w:rsidP="3BD56856">
            <w:pPr>
              <w:rPr>
                <w:rFonts w:ascii="Calibri" w:eastAsia="Calibri" w:hAnsi="Calibri" w:cs="Calibri"/>
                <w:color w:val="000000" w:themeColor="text1"/>
                <w:sz w:val="22"/>
                <w:szCs w:val="22"/>
              </w:rPr>
            </w:pPr>
            <w:r w:rsidRPr="3BD56856">
              <w:rPr>
                <w:rFonts w:ascii="Calibri" w:eastAsia="Calibri" w:hAnsi="Calibri" w:cs="Calibri"/>
                <w:b/>
                <w:bCs/>
                <w:color w:val="000000" w:themeColor="text1"/>
                <w:sz w:val="22"/>
                <w:szCs w:val="22"/>
              </w:rPr>
              <w:t xml:space="preserve">Objective 3. Equitable Workforce Development. </w:t>
            </w:r>
            <w:r>
              <w:br/>
            </w:r>
            <w:r w:rsidRPr="3BD56856">
              <w:rPr>
                <w:rFonts w:ascii="Calibri" w:eastAsia="Calibri" w:hAnsi="Calibri" w:cs="Calibri"/>
                <w:b/>
                <w:bCs/>
                <w:color w:val="000000" w:themeColor="text1"/>
                <w:sz w:val="22"/>
                <w:szCs w:val="22"/>
              </w:rPr>
              <w:t>C</w:t>
            </w:r>
            <w:r w:rsidRPr="3BD56856">
              <w:rPr>
                <w:rFonts w:ascii="Calibri" w:eastAsia="Calibri" w:hAnsi="Calibri" w:cs="Calibri"/>
                <w:color w:val="000000" w:themeColor="text1"/>
                <w:sz w:val="22"/>
                <w:szCs w:val="22"/>
              </w:rPr>
              <w:t>ommitment to equitable workforce development through projects that will attract, train, and retain an appropriately skilled workforce.</w:t>
            </w:r>
          </w:p>
        </w:tc>
        <w:tc>
          <w:tcPr>
            <w:tcW w:w="6840" w:type="dxa"/>
            <w:tcMar>
              <w:left w:w="105" w:type="dxa"/>
              <w:right w:w="105" w:type="dxa"/>
            </w:tcMar>
          </w:tcPr>
          <w:p w14:paraId="023E8759" w14:textId="0CF66C52" w:rsidR="3BD56856" w:rsidRDefault="3BD56856" w:rsidP="3BD56856">
            <w:pPr>
              <w:spacing w:line="259" w:lineRule="auto"/>
              <w:rPr>
                <w:rFonts w:ascii="Calibri" w:eastAsia="Calibri" w:hAnsi="Calibri" w:cs="Calibri"/>
                <w:color w:val="212529"/>
                <w:sz w:val="22"/>
                <w:szCs w:val="22"/>
              </w:rPr>
            </w:pPr>
            <w:r w:rsidRPr="3BD56856">
              <w:rPr>
                <w:rFonts w:ascii="Calibri" w:eastAsia="Calibri" w:hAnsi="Calibri" w:cs="Calibri"/>
                <w:color w:val="212529"/>
                <w:sz w:val="22"/>
                <w:szCs w:val="22"/>
              </w:rPr>
              <w:t>Number of anticipated jobs with living wages and benefits created due to proposed project</w:t>
            </w:r>
          </w:p>
        </w:tc>
      </w:tr>
      <w:tr w:rsidR="3BD56856" w14:paraId="35DCC9E1" w14:textId="77777777" w:rsidTr="3BD56856">
        <w:trPr>
          <w:trHeight w:val="300"/>
        </w:trPr>
        <w:tc>
          <w:tcPr>
            <w:tcW w:w="2490" w:type="dxa"/>
            <w:vMerge/>
            <w:vAlign w:val="center"/>
          </w:tcPr>
          <w:p w14:paraId="0C0BD63B" w14:textId="77777777" w:rsidR="009C400E" w:rsidRDefault="009C400E"/>
        </w:tc>
        <w:tc>
          <w:tcPr>
            <w:tcW w:w="6840" w:type="dxa"/>
            <w:tcMar>
              <w:left w:w="105" w:type="dxa"/>
              <w:right w:w="105" w:type="dxa"/>
            </w:tcMar>
          </w:tcPr>
          <w:p w14:paraId="007BCFA8" w14:textId="3C93F631" w:rsidR="3BD56856" w:rsidRDefault="3BD56856" w:rsidP="3BD56856">
            <w:pPr>
              <w:spacing w:line="259" w:lineRule="auto"/>
              <w:rPr>
                <w:rFonts w:ascii="Calibri" w:eastAsia="Calibri" w:hAnsi="Calibri" w:cs="Calibri"/>
                <w:color w:val="212529"/>
                <w:sz w:val="22"/>
                <w:szCs w:val="22"/>
              </w:rPr>
            </w:pPr>
            <w:r w:rsidRPr="3BD56856">
              <w:rPr>
                <w:rFonts w:ascii="Calibri" w:eastAsia="Calibri" w:hAnsi="Calibri" w:cs="Calibri"/>
                <w:color w:val="212529"/>
                <w:sz w:val="22"/>
                <w:szCs w:val="22"/>
              </w:rPr>
              <w:t>Percentage of underserved and underrepresented workers trained for the proposed project</w:t>
            </w:r>
          </w:p>
        </w:tc>
      </w:tr>
      <w:tr w:rsidR="3BD56856" w14:paraId="3ED0FC80" w14:textId="77777777" w:rsidTr="3BD56856">
        <w:trPr>
          <w:trHeight w:val="300"/>
        </w:trPr>
        <w:tc>
          <w:tcPr>
            <w:tcW w:w="2490" w:type="dxa"/>
            <w:vMerge/>
            <w:vAlign w:val="center"/>
          </w:tcPr>
          <w:p w14:paraId="4792DECE" w14:textId="77777777" w:rsidR="009C400E" w:rsidRDefault="009C400E"/>
        </w:tc>
        <w:tc>
          <w:tcPr>
            <w:tcW w:w="6840" w:type="dxa"/>
            <w:tcMar>
              <w:left w:w="105" w:type="dxa"/>
              <w:right w:w="105" w:type="dxa"/>
            </w:tcMar>
          </w:tcPr>
          <w:p w14:paraId="4878465A" w14:textId="28D18A5A" w:rsidR="3BD56856" w:rsidRDefault="3BD56856" w:rsidP="3BD56856">
            <w:pPr>
              <w:spacing w:line="259" w:lineRule="auto"/>
              <w:rPr>
                <w:rFonts w:ascii="Calibri" w:eastAsia="Calibri" w:hAnsi="Calibri" w:cs="Calibri"/>
                <w:color w:val="212529"/>
                <w:sz w:val="22"/>
                <w:szCs w:val="22"/>
              </w:rPr>
            </w:pPr>
            <w:r w:rsidRPr="3BD56856">
              <w:rPr>
                <w:rFonts w:ascii="Calibri" w:eastAsia="Calibri" w:hAnsi="Calibri" w:cs="Calibri"/>
                <w:color w:val="212529"/>
                <w:sz w:val="22"/>
                <w:szCs w:val="22"/>
              </w:rPr>
              <w:t>Number of clean energy and energy efficiency apprenticeship and pre-apprenticeship trainees working on proposed project</w:t>
            </w:r>
          </w:p>
        </w:tc>
      </w:tr>
      <w:tr w:rsidR="3BD56856" w14:paraId="5F458AA8" w14:textId="77777777" w:rsidTr="3BD56856">
        <w:trPr>
          <w:trHeight w:val="300"/>
        </w:trPr>
        <w:tc>
          <w:tcPr>
            <w:tcW w:w="2490" w:type="dxa"/>
            <w:vMerge/>
            <w:vAlign w:val="center"/>
          </w:tcPr>
          <w:p w14:paraId="515E9F63" w14:textId="77777777" w:rsidR="009C400E" w:rsidRDefault="009C400E"/>
        </w:tc>
        <w:tc>
          <w:tcPr>
            <w:tcW w:w="6840" w:type="dxa"/>
            <w:tcMar>
              <w:left w:w="105" w:type="dxa"/>
              <w:right w:w="105" w:type="dxa"/>
            </w:tcMar>
          </w:tcPr>
          <w:p w14:paraId="3F6570C1" w14:textId="332A2C77" w:rsidR="3BD56856" w:rsidRDefault="3BD56856" w:rsidP="3BD56856">
            <w:pPr>
              <w:spacing w:line="259" w:lineRule="auto"/>
              <w:rPr>
                <w:rFonts w:ascii="Calibri" w:eastAsia="Calibri" w:hAnsi="Calibri" w:cs="Calibri"/>
                <w:color w:val="212529"/>
                <w:sz w:val="22"/>
                <w:szCs w:val="22"/>
              </w:rPr>
            </w:pPr>
            <w:r w:rsidRPr="3BD56856">
              <w:rPr>
                <w:rFonts w:ascii="Calibri" w:eastAsia="Calibri" w:hAnsi="Calibri" w:cs="Calibri"/>
                <w:color w:val="212529"/>
                <w:sz w:val="22"/>
                <w:szCs w:val="22"/>
              </w:rPr>
              <w:t>Percent of contracted or minority-owned industries and businesses used by the project, including companies where resources are purchased</w:t>
            </w:r>
          </w:p>
        </w:tc>
      </w:tr>
      <w:tr w:rsidR="3BD56856" w14:paraId="1E848BFE" w14:textId="77777777" w:rsidTr="3BD56856">
        <w:trPr>
          <w:trHeight w:val="300"/>
        </w:trPr>
        <w:tc>
          <w:tcPr>
            <w:tcW w:w="2490" w:type="dxa"/>
            <w:vMerge/>
            <w:vAlign w:val="center"/>
          </w:tcPr>
          <w:p w14:paraId="4562D285" w14:textId="77777777" w:rsidR="009C400E" w:rsidRDefault="009C400E"/>
        </w:tc>
        <w:tc>
          <w:tcPr>
            <w:tcW w:w="6840" w:type="dxa"/>
            <w:tcMar>
              <w:left w:w="105" w:type="dxa"/>
              <w:right w:w="105" w:type="dxa"/>
            </w:tcMar>
          </w:tcPr>
          <w:p w14:paraId="3F0FB0F1" w14:textId="1B0AA046" w:rsidR="3BD56856" w:rsidRDefault="3BD56856" w:rsidP="3BD56856">
            <w:pPr>
              <w:spacing w:line="259" w:lineRule="auto"/>
              <w:rPr>
                <w:rFonts w:ascii="Calibri" w:eastAsia="Calibri" w:hAnsi="Calibri" w:cs="Calibri"/>
                <w:color w:val="212529"/>
                <w:sz w:val="22"/>
                <w:szCs w:val="22"/>
              </w:rPr>
            </w:pPr>
            <w:r w:rsidRPr="3BD56856">
              <w:rPr>
                <w:rFonts w:ascii="Calibri" w:eastAsia="Calibri" w:hAnsi="Calibri" w:cs="Calibri"/>
                <w:color w:val="212529"/>
                <w:sz w:val="22"/>
                <w:szCs w:val="22"/>
              </w:rPr>
              <w:t>Number of apprentices retained for long-term hire</w:t>
            </w:r>
          </w:p>
        </w:tc>
      </w:tr>
    </w:tbl>
    <w:p w14:paraId="07DAB3E7" w14:textId="692E39FB" w:rsidR="00732189" w:rsidRDefault="00732189" w:rsidP="3BD56856">
      <w:pPr>
        <w:rPr>
          <w:sz w:val="22"/>
          <w:szCs w:val="22"/>
        </w:rPr>
      </w:pPr>
    </w:p>
    <w:p w14:paraId="782190B6" w14:textId="77777777" w:rsidR="00FF0F0E" w:rsidRDefault="00732189" w:rsidP="00512397">
      <w:pPr>
        <w:rPr>
          <w:sz w:val="22"/>
          <w:szCs w:val="22"/>
        </w:rPr>
      </w:pPr>
      <w:r w:rsidRPr="00732189">
        <w:rPr>
          <w:sz w:val="22"/>
          <w:szCs w:val="22"/>
        </w:rPr>
        <w:t xml:space="preserve">DOE’s funding allocation to North Carolina is estimated at $46.1M over five years. </w:t>
      </w:r>
    </w:p>
    <w:p w14:paraId="798CBEC7" w14:textId="77777777" w:rsidR="00FF0F0E" w:rsidRPr="00FF0F0E" w:rsidRDefault="00732189" w:rsidP="00FF0F0E">
      <w:pPr>
        <w:pStyle w:val="ListParagraph"/>
        <w:numPr>
          <w:ilvl w:val="0"/>
          <w:numId w:val="1"/>
        </w:numPr>
        <w:rPr>
          <w:sz w:val="22"/>
          <w:szCs w:val="22"/>
        </w:rPr>
      </w:pPr>
      <w:r w:rsidRPr="00FF0F0E">
        <w:rPr>
          <w:sz w:val="22"/>
          <w:szCs w:val="22"/>
        </w:rPr>
        <w:t xml:space="preserve">Not less than 31% of NC’s award ($14.29M) will be eligible to entities that sell less than or equal to 4,000,000 megawatt hours of electricity per year. </w:t>
      </w:r>
    </w:p>
    <w:p w14:paraId="6F3F6AD8" w14:textId="77777777" w:rsidR="00FF0F0E" w:rsidRPr="00FF0F0E" w:rsidRDefault="00732189" w:rsidP="00FF0F0E">
      <w:pPr>
        <w:pStyle w:val="ListParagraph"/>
        <w:numPr>
          <w:ilvl w:val="0"/>
          <w:numId w:val="1"/>
        </w:numPr>
        <w:rPr>
          <w:sz w:val="22"/>
          <w:szCs w:val="22"/>
        </w:rPr>
      </w:pPr>
      <w:r w:rsidRPr="00FF0F0E">
        <w:rPr>
          <w:sz w:val="22"/>
          <w:szCs w:val="22"/>
        </w:rPr>
        <w:t xml:space="preserve">Approximately 31% of NC utility customers are served by small utilities, such as electric membership corporations and municipally owned utilities within the state. </w:t>
      </w:r>
    </w:p>
    <w:p w14:paraId="736EBD29" w14:textId="07DD9C50" w:rsidR="00FF0F0E" w:rsidRDefault="00732189" w:rsidP="00FF0F0E">
      <w:pPr>
        <w:pStyle w:val="ListParagraph"/>
        <w:numPr>
          <w:ilvl w:val="0"/>
          <w:numId w:val="1"/>
        </w:numPr>
        <w:rPr>
          <w:sz w:val="22"/>
          <w:szCs w:val="22"/>
        </w:rPr>
      </w:pPr>
      <w:r w:rsidRPr="3BD56856">
        <w:rPr>
          <w:sz w:val="22"/>
          <w:szCs w:val="22"/>
        </w:rPr>
        <w:t>Small utilities that apply for an award must certify the electricity sold over the past 5 years, and the average electricity sold must be not more than 4,000,000 megawatt hours.</w:t>
      </w:r>
    </w:p>
    <w:p w14:paraId="7AC53FF0" w14:textId="77777777" w:rsidR="00732189" w:rsidRPr="00FF0F0E" w:rsidRDefault="00732189" w:rsidP="00FF0F0E">
      <w:pPr>
        <w:rPr>
          <w:sz w:val="22"/>
          <w:szCs w:val="18"/>
        </w:rPr>
      </w:pPr>
    </w:p>
    <w:p w14:paraId="66DE05DA" w14:textId="0F3EAE80" w:rsidR="00732189" w:rsidRPr="00FF0F0E" w:rsidRDefault="00732189" w:rsidP="00FF0F0E">
      <w:pPr>
        <w:rPr>
          <w:sz w:val="22"/>
          <w:szCs w:val="18"/>
        </w:rPr>
      </w:pPr>
      <w:r w:rsidRPr="00FF0F0E">
        <w:rPr>
          <w:sz w:val="22"/>
          <w:szCs w:val="18"/>
        </w:rPr>
        <w:t>The NC SEO plans to coordinate public outreach opportunities to energy industry stakeholders as well as a range of other organizations (environmental, equity, and community-based, etc.). Grant solicitations and award information will be released publicly through announcements including press releases, posting of information on North Carolina’s SEO website, and a listserv that any member of the public or stakeholder can sign up for on North Carolina’s SEO website. The State anticipates using a combination of competitive solicitations, direct awards, and financial instruments to award the funds and they will be distributed to subrecipients through contracts meeting criteria and priorities established in the solicitation.</w:t>
      </w:r>
    </w:p>
    <w:p w14:paraId="0E5DF380" w14:textId="45531B90" w:rsidR="00732189" w:rsidRPr="00FF0F0E" w:rsidRDefault="00732189" w:rsidP="00FF0F0E">
      <w:pPr>
        <w:rPr>
          <w:sz w:val="22"/>
          <w:szCs w:val="18"/>
        </w:rPr>
      </w:pPr>
    </w:p>
    <w:p w14:paraId="20CE649D" w14:textId="1CAA0E7D" w:rsidR="00FF0F0E" w:rsidRPr="00FF0F0E" w:rsidRDefault="00732189" w:rsidP="00FF0F0E">
      <w:pPr>
        <w:rPr>
          <w:sz w:val="22"/>
          <w:szCs w:val="18"/>
        </w:rPr>
      </w:pPr>
      <w:r w:rsidRPr="00FF0F0E">
        <w:rPr>
          <w:sz w:val="22"/>
          <w:szCs w:val="18"/>
        </w:rPr>
        <w:t>While all who may be eligible under Section 40101(d) can apply, the North Carolina SEO will prioritize entities that directly provide resilient electricity to the public and offer the greatest community benefit as outlined in this tentative program narrative. Per federal requirements, eligible entities for grid infrastructure and resilience subgrants include</w:t>
      </w:r>
      <w:r w:rsidR="00FF0F0E" w:rsidRPr="00FF0F0E">
        <w:rPr>
          <w:sz w:val="22"/>
          <w:szCs w:val="18"/>
        </w:rPr>
        <w:t>:</w:t>
      </w:r>
    </w:p>
    <w:p w14:paraId="09870B6B" w14:textId="4939A1E7" w:rsidR="00FF0F0E" w:rsidRDefault="00FF0F0E" w:rsidP="00FF0F0E">
      <w:pPr>
        <w:pStyle w:val="ListParagraph"/>
        <w:numPr>
          <w:ilvl w:val="0"/>
          <w:numId w:val="2"/>
        </w:numPr>
        <w:rPr>
          <w:sz w:val="22"/>
          <w:szCs w:val="22"/>
        </w:rPr>
      </w:pPr>
      <w:r>
        <w:rPr>
          <w:sz w:val="22"/>
          <w:szCs w:val="22"/>
        </w:rPr>
        <w:t>E</w:t>
      </w:r>
      <w:r w:rsidR="00732189" w:rsidRPr="00FF0F0E">
        <w:rPr>
          <w:sz w:val="22"/>
          <w:szCs w:val="22"/>
        </w:rPr>
        <w:t>lectric grid operators</w:t>
      </w:r>
      <w:r>
        <w:rPr>
          <w:sz w:val="22"/>
          <w:szCs w:val="22"/>
        </w:rPr>
        <w:t>;</w:t>
      </w:r>
    </w:p>
    <w:p w14:paraId="41E49419" w14:textId="23DF28DA" w:rsidR="00FF0F0E" w:rsidRDefault="00FF0F0E" w:rsidP="00FF0F0E">
      <w:pPr>
        <w:pStyle w:val="ListParagraph"/>
        <w:numPr>
          <w:ilvl w:val="0"/>
          <w:numId w:val="2"/>
        </w:numPr>
        <w:rPr>
          <w:sz w:val="22"/>
          <w:szCs w:val="22"/>
        </w:rPr>
      </w:pPr>
      <w:r>
        <w:rPr>
          <w:sz w:val="22"/>
          <w:szCs w:val="22"/>
        </w:rPr>
        <w:t>E</w:t>
      </w:r>
      <w:r w:rsidR="00732189" w:rsidRPr="00FF0F0E">
        <w:rPr>
          <w:sz w:val="22"/>
          <w:szCs w:val="22"/>
        </w:rPr>
        <w:t>lectricity storage operators</w:t>
      </w:r>
      <w:r>
        <w:rPr>
          <w:sz w:val="22"/>
          <w:szCs w:val="22"/>
        </w:rPr>
        <w:t>;</w:t>
      </w:r>
    </w:p>
    <w:p w14:paraId="747C1165" w14:textId="7999230D" w:rsidR="00FF0F0E" w:rsidRDefault="00FF0F0E" w:rsidP="00FF0F0E">
      <w:pPr>
        <w:pStyle w:val="ListParagraph"/>
        <w:numPr>
          <w:ilvl w:val="0"/>
          <w:numId w:val="2"/>
        </w:numPr>
        <w:rPr>
          <w:sz w:val="22"/>
          <w:szCs w:val="22"/>
        </w:rPr>
      </w:pPr>
      <w:r>
        <w:rPr>
          <w:sz w:val="22"/>
          <w:szCs w:val="22"/>
        </w:rPr>
        <w:t>E</w:t>
      </w:r>
      <w:r w:rsidR="00732189" w:rsidRPr="00FF0F0E">
        <w:rPr>
          <w:sz w:val="22"/>
          <w:szCs w:val="22"/>
        </w:rPr>
        <w:t>lectricity generators</w:t>
      </w:r>
      <w:r>
        <w:rPr>
          <w:sz w:val="22"/>
          <w:szCs w:val="22"/>
        </w:rPr>
        <w:t>;</w:t>
      </w:r>
    </w:p>
    <w:p w14:paraId="64C681A7" w14:textId="1EB32E5E" w:rsidR="00FF0F0E" w:rsidRDefault="00FF0F0E" w:rsidP="00FF0F0E">
      <w:pPr>
        <w:pStyle w:val="ListParagraph"/>
        <w:numPr>
          <w:ilvl w:val="0"/>
          <w:numId w:val="2"/>
        </w:numPr>
        <w:rPr>
          <w:sz w:val="22"/>
          <w:szCs w:val="22"/>
        </w:rPr>
      </w:pPr>
      <w:r>
        <w:rPr>
          <w:sz w:val="22"/>
          <w:szCs w:val="22"/>
        </w:rPr>
        <w:t>T</w:t>
      </w:r>
      <w:r w:rsidR="00732189" w:rsidRPr="00FF0F0E">
        <w:rPr>
          <w:sz w:val="22"/>
          <w:szCs w:val="22"/>
        </w:rPr>
        <w:t>ransmission owners or operators</w:t>
      </w:r>
      <w:r>
        <w:rPr>
          <w:sz w:val="22"/>
          <w:szCs w:val="22"/>
        </w:rPr>
        <w:t>;</w:t>
      </w:r>
    </w:p>
    <w:p w14:paraId="2D74ABBB" w14:textId="65F5A1EA" w:rsidR="00FF0F0E" w:rsidRDefault="00FF0F0E" w:rsidP="00FF0F0E">
      <w:pPr>
        <w:pStyle w:val="ListParagraph"/>
        <w:numPr>
          <w:ilvl w:val="0"/>
          <w:numId w:val="2"/>
        </w:numPr>
        <w:rPr>
          <w:sz w:val="22"/>
          <w:szCs w:val="22"/>
        </w:rPr>
      </w:pPr>
      <w:r>
        <w:rPr>
          <w:sz w:val="22"/>
          <w:szCs w:val="22"/>
        </w:rPr>
        <w:t>D</w:t>
      </w:r>
      <w:r w:rsidR="00732189" w:rsidRPr="00FF0F0E">
        <w:rPr>
          <w:sz w:val="22"/>
          <w:szCs w:val="22"/>
        </w:rPr>
        <w:t>istribution providers</w:t>
      </w:r>
      <w:r>
        <w:rPr>
          <w:sz w:val="22"/>
          <w:szCs w:val="22"/>
        </w:rPr>
        <w:t>;</w:t>
      </w:r>
    </w:p>
    <w:p w14:paraId="1D3B948A" w14:textId="309CD860" w:rsidR="008B7BC0" w:rsidRPr="008B7BC0" w:rsidRDefault="00FF0F0E" w:rsidP="3BD56856">
      <w:pPr>
        <w:pStyle w:val="ListParagraph"/>
        <w:numPr>
          <w:ilvl w:val="0"/>
          <w:numId w:val="2"/>
        </w:numPr>
        <w:rPr>
          <w:sz w:val="22"/>
          <w:szCs w:val="22"/>
        </w:rPr>
      </w:pPr>
      <w:r w:rsidRPr="3BD56856">
        <w:rPr>
          <w:sz w:val="22"/>
          <w:szCs w:val="22"/>
        </w:rPr>
        <w:t>F</w:t>
      </w:r>
      <w:r w:rsidR="00732189" w:rsidRPr="3BD56856">
        <w:rPr>
          <w:sz w:val="22"/>
          <w:szCs w:val="22"/>
        </w:rPr>
        <w:t>uel suppliers, or other entity determined by DOE Secretary.</w:t>
      </w:r>
    </w:p>
    <w:p w14:paraId="5E6B6A8A" w14:textId="259F0648" w:rsidR="3BD56856" w:rsidRDefault="3BD56856" w:rsidP="3BD56856">
      <w:pPr>
        <w:rPr>
          <w:i/>
          <w:iCs/>
          <w:sz w:val="20"/>
        </w:rPr>
      </w:pPr>
    </w:p>
    <w:p w14:paraId="0CC9AE74" w14:textId="4B26D7F7" w:rsidR="6A8B79A0" w:rsidRDefault="6A8B79A0" w:rsidP="3BD56856">
      <w:pPr>
        <w:rPr>
          <w:i/>
          <w:iCs/>
          <w:sz w:val="20"/>
        </w:rPr>
      </w:pPr>
      <w:r w:rsidRPr="3BD56856">
        <w:rPr>
          <w:i/>
          <w:iCs/>
          <w:sz w:val="20"/>
        </w:rPr>
        <w:t>The North Carolina State Energy Office (NC SEO) will utilize up to five percent of federal grant funds in support of technical assistance and project administration efforts. These funds will go toward ensuring all reporting requirements associated with the funding are met, including all financial and contractual obligations associated with receipt of the funds.</w:t>
      </w:r>
    </w:p>
    <w:p w14:paraId="29075DAD" w14:textId="33D3B630" w:rsidR="00732189" w:rsidRPr="008B7BC0" w:rsidRDefault="00732189" w:rsidP="3BD56856">
      <w:pPr>
        <w:rPr>
          <w:sz w:val="22"/>
          <w:szCs w:val="22"/>
        </w:rPr>
      </w:pPr>
    </w:p>
    <w:sectPr w:rsidR="00732189" w:rsidRPr="008B7BC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5E0C5" w14:textId="77777777" w:rsidR="00362464" w:rsidRDefault="00362464">
      <w:r>
        <w:separator/>
      </w:r>
    </w:p>
  </w:endnote>
  <w:endnote w:type="continuationSeparator" w:id="0">
    <w:p w14:paraId="6006080A" w14:textId="77777777" w:rsidR="00362464" w:rsidRDefault="0036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panose1 w:val="000000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360"/>
    </w:tblGrid>
    <w:tr w:rsidR="3BD56856" w14:paraId="6B89528F" w14:textId="77777777" w:rsidTr="3BD56856">
      <w:trPr>
        <w:trHeight w:val="300"/>
      </w:trPr>
      <w:tc>
        <w:tcPr>
          <w:tcW w:w="9360" w:type="dxa"/>
        </w:tcPr>
        <w:p w14:paraId="3151DA1F" w14:textId="7F7FDC34" w:rsidR="3BD56856" w:rsidRDefault="3BD56856" w:rsidP="3BD56856">
          <w:pPr>
            <w:pStyle w:val="Header"/>
            <w:ind w:left="-115"/>
          </w:pPr>
        </w:p>
      </w:tc>
    </w:tr>
  </w:tbl>
  <w:p w14:paraId="0F7EEEAF" w14:textId="503ABB3A" w:rsidR="3BD56856" w:rsidRDefault="3BD56856" w:rsidP="3BD56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BB64" w14:textId="77777777" w:rsidR="00362464" w:rsidRDefault="00362464">
      <w:r>
        <w:separator/>
      </w:r>
    </w:p>
  </w:footnote>
  <w:footnote w:type="continuationSeparator" w:id="0">
    <w:p w14:paraId="251E56AD" w14:textId="77777777" w:rsidR="00362464" w:rsidRDefault="00362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BD56856" w14:paraId="00910B5C" w14:textId="77777777" w:rsidTr="3BD56856">
      <w:trPr>
        <w:trHeight w:val="300"/>
      </w:trPr>
      <w:tc>
        <w:tcPr>
          <w:tcW w:w="3120" w:type="dxa"/>
        </w:tcPr>
        <w:p w14:paraId="718DF80B" w14:textId="57FD244E" w:rsidR="3BD56856" w:rsidRDefault="3BD56856" w:rsidP="3BD56856">
          <w:pPr>
            <w:pStyle w:val="Header"/>
            <w:ind w:left="-115"/>
          </w:pPr>
        </w:p>
      </w:tc>
      <w:tc>
        <w:tcPr>
          <w:tcW w:w="3120" w:type="dxa"/>
        </w:tcPr>
        <w:p w14:paraId="4C8B11DA" w14:textId="12524153" w:rsidR="3BD56856" w:rsidRDefault="3BD56856" w:rsidP="3BD56856">
          <w:pPr>
            <w:pStyle w:val="Header"/>
            <w:jc w:val="center"/>
          </w:pPr>
        </w:p>
      </w:tc>
      <w:tc>
        <w:tcPr>
          <w:tcW w:w="3120" w:type="dxa"/>
        </w:tcPr>
        <w:p w14:paraId="1F9D1819" w14:textId="2C783765" w:rsidR="3BD56856" w:rsidRDefault="3BD56856" w:rsidP="3BD56856">
          <w:pPr>
            <w:pStyle w:val="Header"/>
            <w:ind w:right="-115"/>
            <w:jc w:val="right"/>
          </w:pPr>
        </w:p>
      </w:tc>
    </w:tr>
  </w:tbl>
  <w:p w14:paraId="6A2A2820" w14:textId="79A9B18B" w:rsidR="3BD56856" w:rsidRDefault="3BD56856" w:rsidP="3BD56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2F5"/>
    <w:multiLevelType w:val="hybridMultilevel"/>
    <w:tmpl w:val="F5F8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E3B69"/>
    <w:multiLevelType w:val="hybridMultilevel"/>
    <w:tmpl w:val="D328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460120">
    <w:abstractNumId w:val="0"/>
  </w:num>
  <w:num w:numId="2" w16cid:durableId="1035155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97"/>
    <w:rsid w:val="001D5057"/>
    <w:rsid w:val="00362464"/>
    <w:rsid w:val="00512397"/>
    <w:rsid w:val="00732189"/>
    <w:rsid w:val="008B7BC0"/>
    <w:rsid w:val="009C400E"/>
    <w:rsid w:val="00FF0F0E"/>
    <w:rsid w:val="06EBB571"/>
    <w:rsid w:val="094C520A"/>
    <w:rsid w:val="125A36AA"/>
    <w:rsid w:val="15913FF4"/>
    <w:rsid w:val="1CF5735B"/>
    <w:rsid w:val="227CA7B5"/>
    <w:rsid w:val="2C147A33"/>
    <w:rsid w:val="2E783EF5"/>
    <w:rsid w:val="36AFB6E4"/>
    <w:rsid w:val="3BD56856"/>
    <w:rsid w:val="421E381D"/>
    <w:rsid w:val="4BFB018A"/>
    <w:rsid w:val="58939184"/>
    <w:rsid w:val="674A2508"/>
    <w:rsid w:val="6A8B79A0"/>
    <w:rsid w:val="6AFAAAA7"/>
    <w:rsid w:val="75DADE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70C7"/>
  <w15:chartTrackingRefBased/>
  <w15:docId w15:val="{F2ECFF03-9160-49F4-B0ED-D548AC03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397"/>
    <w:pPr>
      <w:spacing w:after="0" w:line="240"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uiPriority w:val="1"/>
    <w:qFormat/>
    <w:rsid w:val="00512397"/>
    <w:rPr>
      <w:rFonts w:asciiTheme="minorHAnsi" w:hAnsiTheme="minorHAnsi"/>
      <w:b/>
      <w:sz w:val="36"/>
    </w:rPr>
  </w:style>
  <w:style w:type="character" w:styleId="CommentReference">
    <w:name w:val="annotation reference"/>
    <w:uiPriority w:val="99"/>
    <w:rsid w:val="00512397"/>
    <w:rPr>
      <w:sz w:val="16"/>
      <w:szCs w:val="16"/>
    </w:rPr>
  </w:style>
  <w:style w:type="paragraph" w:styleId="CommentText">
    <w:name w:val="annotation text"/>
    <w:basedOn w:val="Normal"/>
    <w:link w:val="CommentTextChar"/>
    <w:uiPriority w:val="99"/>
    <w:rsid w:val="00512397"/>
  </w:style>
  <w:style w:type="character" w:customStyle="1" w:styleId="CommentTextChar">
    <w:name w:val="Comment Text Char"/>
    <w:basedOn w:val="DefaultParagraphFont"/>
    <w:link w:val="CommentText"/>
    <w:uiPriority w:val="99"/>
    <w:rsid w:val="00512397"/>
    <w:rPr>
      <w:rFonts w:eastAsia="Times New Roman" w:cs="Times New Roman"/>
      <w:sz w:val="24"/>
      <w:szCs w:val="20"/>
    </w:rPr>
  </w:style>
  <w:style w:type="table" w:styleId="TableGrid">
    <w:name w:val="Table Grid"/>
    <w:basedOn w:val="TableNormal"/>
    <w:uiPriority w:val="59"/>
    <w:rsid w:val="005123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0F0E"/>
    <w:pPr>
      <w:ind w:left="720"/>
      <w:contextualSpacing/>
    </w:pPr>
  </w:style>
  <w:style w:type="paragraph" w:styleId="NoSpacing">
    <w:name w:val="No Spacing"/>
    <w:uiPriority w:val="1"/>
    <w:qFormat/>
    <w:rsid w:val="00FF0F0E"/>
    <w:pPr>
      <w:spacing w:after="0" w:line="240" w:lineRule="auto"/>
    </w:pPr>
    <w:rPr>
      <w:rFonts w:eastAsia="Times New Roman" w:cs="Times New Roman"/>
      <w:sz w:val="24"/>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0a3d58-d6b5-44e7-a6e6-f9ef0804699b" xsi:nil="true"/>
    <_ip_UnifiedCompliancePolicyUIAction xmlns="http://schemas.microsoft.com/sharepoint/v3" xsi:nil="true"/>
    <lcf76f155ced4ddcb4097134ff3c332f xmlns="589c39b0-21c5-4bfd-8db7-9f50622bc62b">
      <Terms xmlns="http://schemas.microsoft.com/office/infopath/2007/PartnerControls"/>
    </lcf76f155ced4ddcb4097134ff3c332f>
    <_ip_UnifiedCompliancePolicyProperties xmlns="http://schemas.microsoft.com/sharepoint/v3" xsi:nil="true"/>
    <ApplicationDueDate xmlns="589c39b0-21c5-4bfd-8db7-9f50622bc62b" xsi:nil="true"/>
    <SharedWithUsers xmlns="ec0a3d58-d6b5-44e7-a6e6-f9ef0804699b">
      <UserInfo>
        <DisplayName>Woosley, Julie</DisplayName>
        <AccountId>244</AccountId>
        <AccountType/>
      </UserInfo>
      <UserInfo>
        <DisplayName>Pitchford, Joseph M</DisplayName>
        <AccountId>206</AccountId>
        <AccountType/>
      </UserInfo>
      <UserInfo>
        <DisplayName>Farmer, Sharetta A</DisplayName>
        <AccountId>230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B7EDAF9737AC478B694DD6BABB6078" ma:contentTypeVersion="22" ma:contentTypeDescription="Create a new document." ma:contentTypeScope="" ma:versionID="c8dae73cdc3a797b63b32a2134ae7027">
  <xsd:schema xmlns:xsd="http://www.w3.org/2001/XMLSchema" xmlns:xs="http://www.w3.org/2001/XMLSchema" xmlns:p="http://schemas.microsoft.com/office/2006/metadata/properties" xmlns:ns1="http://schemas.microsoft.com/sharepoint/v3" xmlns:ns2="589c39b0-21c5-4bfd-8db7-9f50622bc62b" xmlns:ns3="ec0a3d58-d6b5-44e7-a6e6-f9ef0804699b" targetNamespace="http://schemas.microsoft.com/office/2006/metadata/properties" ma:root="true" ma:fieldsID="84a9b83c6d08b4b3ae474adb61bffad3" ns1:_="" ns2:_="" ns3:_="">
    <xsd:import namespace="http://schemas.microsoft.com/sharepoint/v3"/>
    <xsd:import namespace="589c39b0-21c5-4bfd-8db7-9f50622bc62b"/>
    <xsd:import namespace="ec0a3d58-d6b5-44e7-a6e6-f9ef080469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Application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ma:readOnly="false">
      <xsd:simpleType>
        <xsd:restriction base="dms:Note"/>
      </xsd:simpleType>
    </xsd:element>
    <xsd:element name="_ip_UnifiedCompliancePolicyUIAction" ma:index="15"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c39b0-21c5-4bfd-8db7-9f50622bc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Location" ma:index="12" nillable="true" ma:displayName="MediaServiceLocation" ma:hidden="true" ma:internalName="MediaServiceLocation" ma:readOnly="true">
      <xsd:simpleType>
        <xsd:restriction base="dms:Text"/>
      </xsd:simpleType>
    </xsd:element>
    <xsd:element name="MediaServiceOCR" ma:index="13" nillable="true" ma:displayName="MediaServiceOCR"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ApplicationDueDate" ma:index="26" nillable="true" ma:displayName="Due Date" ma:format="Dropdown" ma:internalName="ApplicationDue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0a3d58-d6b5-44e7-a6e6-f9ef0804699b"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df8f728e-9365-44ed-a442-c0ced406f9f5}" ma:internalName="TaxCatchAll" ma:showField="CatchAllData" ma:web="ec0a3d58-d6b5-44e7-a6e6-f9ef080469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B6794-AB83-43E8-A015-A8AD9E9BD912}">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ec0a3d58-d6b5-44e7-a6e6-f9ef0804699b"/>
    <ds:schemaRef ds:uri="http://purl.org/dc/dcmitype/"/>
    <ds:schemaRef ds:uri="http://purl.org/dc/elements/1.1/"/>
    <ds:schemaRef ds:uri="http://schemas.openxmlformats.org/package/2006/metadata/core-properties"/>
    <ds:schemaRef ds:uri="589c39b0-21c5-4bfd-8db7-9f50622bc62b"/>
    <ds:schemaRef ds:uri="http://purl.org/dc/terms/"/>
  </ds:schemaRefs>
</ds:datastoreItem>
</file>

<file path=customXml/itemProps2.xml><?xml version="1.0" encoding="utf-8"?>
<ds:datastoreItem xmlns:ds="http://schemas.openxmlformats.org/officeDocument/2006/customXml" ds:itemID="{7F0048BE-70C4-42C4-8D35-0EBE2C7E8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9c39b0-21c5-4bfd-8db7-9f50622bc62b"/>
    <ds:schemaRef ds:uri="ec0a3d58-d6b5-44e7-a6e6-f9ef08046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EC3D9-DC34-4F6F-92AE-7C54C6DB9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904</Words>
  <Characters>5159</Characters>
  <Application>Microsoft Office Word</Application>
  <DocSecurity>4</DocSecurity>
  <Lines>42</Lines>
  <Paragraphs>12</Paragraphs>
  <ScaleCrop>false</ScaleCrop>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Sharetta A</dc:creator>
  <cp:keywords/>
  <dc:description/>
  <cp:lastModifiedBy>Woosley, Julie</cp:lastModifiedBy>
  <cp:revision>4</cp:revision>
  <dcterms:created xsi:type="dcterms:W3CDTF">2023-03-06T16:17:00Z</dcterms:created>
  <dcterms:modified xsi:type="dcterms:W3CDTF">2023-03-07T19:05:00Z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0x01010044B7EDAF9737AC478B694DD6BABB6078</vt:lpwstr>
  </property>
  <property fmtid="{D5CDD505-2E9C-101B-9397-08002B2CF9AE}" pid="3" name="MediaServiceImageTags">
    <vt:lpwstr/>
  </property>
</Properties>
</file>