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E3B" w:rsidRPr="00813A8D" w:rsidRDefault="000A46F1" w:rsidP="00813A8D">
      <w:pPr>
        <w:rPr>
          <w:b/>
          <w:sz w:val="28"/>
          <w:szCs w:val="28"/>
        </w:rPr>
      </w:pPr>
      <w:r w:rsidRPr="00813A8D">
        <w:rPr>
          <w:b/>
          <w:sz w:val="28"/>
          <w:szCs w:val="28"/>
        </w:rPr>
        <w:t xml:space="preserve">CONFLICT OF INTEREST </w:t>
      </w:r>
      <w:r w:rsidR="00813A8D" w:rsidRPr="00813A8D">
        <w:rPr>
          <w:b/>
          <w:sz w:val="28"/>
          <w:szCs w:val="28"/>
        </w:rPr>
        <w:t>DISCLOSURE</w:t>
      </w:r>
    </w:p>
    <w:p w:rsidR="00AE0944" w:rsidRPr="00813A8D" w:rsidRDefault="00350C96" w:rsidP="00AE0944">
      <w:pPr>
        <w:pBdr>
          <w:top w:val="single" w:sz="4" w:space="1" w:color="auto"/>
          <w:left w:val="single" w:sz="4" w:space="4" w:color="auto"/>
          <w:bottom w:val="single" w:sz="4" w:space="0" w:color="auto"/>
          <w:right w:val="single" w:sz="4" w:space="4" w:color="auto"/>
        </w:pBdr>
        <w:shd w:val="clear" w:color="auto" w:fill="FFFFFF"/>
        <w:spacing w:before="200" w:after="100" w:line="240" w:lineRule="auto"/>
        <w:jc w:val="both"/>
        <w:outlineLvl w:val="1"/>
        <w:rPr>
          <w:rFonts w:eastAsia="Times New Roman" w:cs="Arial"/>
          <w:bCs/>
          <w:color w:val="000000"/>
        </w:rPr>
      </w:pPr>
      <w:r w:rsidRPr="00813A8D">
        <w:rPr>
          <w:rFonts w:eastAsia="Times New Roman" w:cs="Arial"/>
          <w:b/>
          <w:bCs/>
          <w:color w:val="000000"/>
        </w:rPr>
        <w:t xml:space="preserve">Conflict of Interest Regulations: </w:t>
      </w:r>
      <w:r w:rsidRPr="00813A8D">
        <w:rPr>
          <w:rFonts w:eastAsia="Times New Roman" w:cs="Arial"/>
          <w:bCs/>
          <w:color w:val="000000"/>
        </w:rPr>
        <w:t xml:space="preserve">U.S. HUD’S Conflict of Interest provisions are set forth at </w:t>
      </w:r>
      <w:r w:rsidRPr="00813A8D">
        <w:rPr>
          <w:rFonts w:eastAsia="Times New Roman" w:cs="Arial"/>
          <w:b/>
          <w:bCs/>
          <w:i/>
          <w:color w:val="000000"/>
        </w:rPr>
        <w:t>24 CFR 570.611</w:t>
      </w:r>
      <w:r w:rsidR="00367A5F">
        <w:rPr>
          <w:rFonts w:eastAsia="Times New Roman" w:cs="Arial"/>
          <w:b/>
          <w:bCs/>
          <w:i/>
          <w:color w:val="000000"/>
        </w:rPr>
        <w:t xml:space="preserve"> </w:t>
      </w:r>
      <w:r w:rsidR="00E41E3B" w:rsidRPr="00E41E3B">
        <w:rPr>
          <w:rFonts w:eastAsia="Times New Roman" w:cs="Arial"/>
          <w:b/>
          <w:i/>
          <w:color w:val="000000"/>
        </w:rPr>
        <w:t>(a)</w:t>
      </w:r>
      <w:r w:rsidR="00E41E3B" w:rsidRPr="00813A8D">
        <w:rPr>
          <w:rFonts w:eastAsia="Times New Roman" w:cs="Arial"/>
          <w:color w:val="000000"/>
        </w:rPr>
        <w:t> </w:t>
      </w:r>
      <w:r w:rsidR="00E41E3B" w:rsidRPr="00E41E3B">
        <w:rPr>
          <w:rFonts w:eastAsia="Times New Roman" w:cs="Arial"/>
          <w:i/>
          <w:iCs/>
          <w:color w:val="000000"/>
          <w:u w:val="single"/>
        </w:rPr>
        <w:t>Applicability</w:t>
      </w:r>
      <w:r w:rsidR="00E41E3B" w:rsidRPr="00E41E3B">
        <w:rPr>
          <w:rFonts w:eastAsia="Times New Roman" w:cs="Arial"/>
          <w:i/>
          <w:iCs/>
          <w:color w:val="000000"/>
        </w:rPr>
        <w:t>.</w:t>
      </w:r>
      <w:r w:rsidR="00E41E3B" w:rsidRPr="00813A8D">
        <w:rPr>
          <w:rFonts w:eastAsia="Times New Roman" w:cs="Arial"/>
          <w:color w:val="000000"/>
        </w:rPr>
        <w:t> </w:t>
      </w:r>
      <w:r w:rsidR="00E41E3B" w:rsidRPr="00E41E3B">
        <w:rPr>
          <w:rFonts w:eastAsia="Times New Roman" w:cs="Arial"/>
          <w:color w:val="000000"/>
        </w:rPr>
        <w:t xml:space="preserve">(1) In the procurement of supplies, equipment, construction, and services by recipients and by </w:t>
      </w:r>
      <w:r w:rsidRPr="00813A8D">
        <w:rPr>
          <w:rFonts w:eastAsia="Times New Roman" w:cs="Arial"/>
          <w:color w:val="000000"/>
        </w:rPr>
        <w:t>sub recipients</w:t>
      </w:r>
      <w:r w:rsidR="00E41E3B" w:rsidRPr="00E41E3B">
        <w:rPr>
          <w:rFonts w:eastAsia="Times New Roman" w:cs="Arial"/>
          <w:color w:val="000000"/>
        </w:rPr>
        <w:t xml:space="preserve">, the conflict of interest provisions in </w:t>
      </w:r>
      <w:r w:rsidR="00E41E3B" w:rsidRPr="00367A5F">
        <w:rPr>
          <w:rFonts w:eastAsia="Times New Roman" w:cs="Arial"/>
          <w:b/>
          <w:i/>
          <w:color w:val="FF0000"/>
        </w:rPr>
        <w:t xml:space="preserve">2 CFR </w:t>
      </w:r>
      <w:r w:rsidR="00367A5F" w:rsidRPr="00367A5F">
        <w:rPr>
          <w:rFonts w:eastAsia="Times New Roman" w:cs="Arial"/>
          <w:b/>
          <w:i/>
          <w:color w:val="FF0000"/>
        </w:rPr>
        <w:t>Part 200</w:t>
      </w:r>
      <w:r w:rsidRPr="00813A8D">
        <w:rPr>
          <w:rFonts w:eastAsia="Times New Roman" w:cs="Arial"/>
          <w:color w:val="000000"/>
        </w:rPr>
        <w:t xml:space="preserve">, shall apply. </w:t>
      </w:r>
      <w:r w:rsidR="00E41E3B" w:rsidRPr="00E41E3B">
        <w:rPr>
          <w:rFonts w:eastAsia="Times New Roman" w:cs="Arial"/>
          <w:b/>
          <w:i/>
          <w:color w:val="000000"/>
        </w:rPr>
        <w:t>(b)</w:t>
      </w:r>
      <w:r w:rsidR="00E41E3B" w:rsidRPr="00813A8D">
        <w:rPr>
          <w:rFonts w:eastAsia="Times New Roman" w:cs="Arial"/>
          <w:color w:val="000000"/>
        </w:rPr>
        <w:t> </w:t>
      </w:r>
      <w:r w:rsidR="00E41E3B" w:rsidRPr="00E41E3B">
        <w:rPr>
          <w:rFonts w:eastAsia="Times New Roman" w:cs="Arial"/>
          <w:i/>
          <w:iCs/>
          <w:color w:val="000000"/>
          <w:u w:val="single"/>
        </w:rPr>
        <w:t>Conflicts prohibited</w:t>
      </w:r>
      <w:r w:rsidR="00E41E3B" w:rsidRPr="00E41E3B">
        <w:rPr>
          <w:rFonts w:eastAsia="Times New Roman" w:cs="Arial"/>
          <w:i/>
          <w:iCs/>
          <w:color w:val="000000"/>
        </w:rPr>
        <w:t>.</w:t>
      </w:r>
      <w:r w:rsidR="00E41E3B" w:rsidRPr="00813A8D">
        <w:rPr>
          <w:rFonts w:eastAsia="Times New Roman" w:cs="Arial"/>
          <w:color w:val="000000"/>
        </w:rPr>
        <w:t> </w:t>
      </w:r>
      <w:r w:rsidR="00E41E3B" w:rsidRPr="00E41E3B">
        <w:rPr>
          <w:rFonts w:eastAsia="Times New Roman" w:cs="Arial"/>
          <w:color w:val="000000"/>
        </w:rPr>
        <w:t xml:space="preserve">The general rule is that no persons described in paragraph (c) of this section who exercise or have exercised any functions or responsibilities with respect to CDBG activities assisted under this part, or who are in a position to participate in a </w:t>
      </w:r>
      <w:r w:rsidRPr="00813A8D">
        <w:rPr>
          <w:rFonts w:eastAsia="Times New Roman" w:cs="Arial"/>
          <w:color w:val="000000"/>
        </w:rPr>
        <w:t>decision-making</w:t>
      </w:r>
      <w:r w:rsidR="00E41E3B" w:rsidRPr="00E41E3B">
        <w:rPr>
          <w:rFonts w:eastAsia="Times New Roman" w:cs="Arial"/>
          <w:color w:val="000000"/>
        </w:rPr>
        <w:t xml:space="preserve"> process or gain inside information with regard to such activities, may obtain a financial interest or benefit from a </w:t>
      </w:r>
      <w:r w:rsidR="00E41E3B" w:rsidRPr="00E41E3B">
        <w:rPr>
          <w:rFonts w:eastAsia="Times New Roman" w:cs="Arial"/>
          <w:b/>
          <w:color w:val="000000"/>
        </w:rPr>
        <w:t>CDBG</w:t>
      </w:r>
      <w:r w:rsidR="00E41E3B" w:rsidRPr="00E41E3B">
        <w:rPr>
          <w:rFonts w:eastAsia="Times New Roman" w:cs="Arial"/>
          <w:color w:val="000000"/>
        </w:rPr>
        <w:t xml:space="preserve">-assisted activity, or have a financial interest in any contract, subcontract, or agreement with respect to a </w:t>
      </w:r>
      <w:r w:rsidR="00E41E3B" w:rsidRPr="00E41E3B">
        <w:rPr>
          <w:rFonts w:eastAsia="Times New Roman" w:cs="Arial"/>
          <w:b/>
          <w:color w:val="000000"/>
        </w:rPr>
        <w:t>CDBG</w:t>
      </w:r>
      <w:r w:rsidR="00E41E3B" w:rsidRPr="00E41E3B">
        <w:rPr>
          <w:rFonts w:eastAsia="Times New Roman" w:cs="Arial"/>
          <w:color w:val="000000"/>
        </w:rPr>
        <w:t xml:space="preserve">-assisted activity, or with respect to the proceeds of the </w:t>
      </w:r>
      <w:r w:rsidR="00E41E3B" w:rsidRPr="00E41E3B">
        <w:rPr>
          <w:rFonts w:eastAsia="Times New Roman" w:cs="Arial"/>
          <w:b/>
          <w:color w:val="000000"/>
        </w:rPr>
        <w:t>CDBG</w:t>
      </w:r>
      <w:r w:rsidR="00E41E3B" w:rsidRPr="00E41E3B">
        <w:rPr>
          <w:rFonts w:eastAsia="Times New Roman" w:cs="Arial"/>
          <w:color w:val="000000"/>
        </w:rPr>
        <w:t>-assisted activity, either for themselves or those with whom they have business or immediate family ties, during their ten</w:t>
      </w:r>
      <w:r w:rsidR="003F10C8" w:rsidRPr="00813A8D">
        <w:rPr>
          <w:rFonts w:eastAsia="Times New Roman" w:cs="Arial"/>
          <w:color w:val="000000"/>
        </w:rPr>
        <w:t>ure or for one year thereafter…</w:t>
      </w:r>
      <w:r w:rsidR="003F10C8" w:rsidRPr="00813A8D">
        <w:rPr>
          <w:rFonts w:eastAsia="Times New Roman" w:cs="Arial"/>
          <w:i/>
          <w:color w:val="000000"/>
        </w:rPr>
        <w:t xml:space="preserve"> </w:t>
      </w:r>
      <w:r w:rsidR="00E41E3B" w:rsidRPr="00E41E3B">
        <w:rPr>
          <w:rFonts w:eastAsia="Times New Roman" w:cs="Arial"/>
          <w:b/>
          <w:i/>
          <w:color w:val="000000"/>
        </w:rPr>
        <w:t>(c)</w:t>
      </w:r>
      <w:r w:rsidR="00E41E3B" w:rsidRPr="00813A8D">
        <w:rPr>
          <w:rFonts w:eastAsia="Times New Roman" w:cs="Arial"/>
          <w:color w:val="000000"/>
        </w:rPr>
        <w:t> </w:t>
      </w:r>
      <w:r w:rsidR="00E41E3B" w:rsidRPr="00E41E3B">
        <w:rPr>
          <w:rFonts w:eastAsia="Times New Roman" w:cs="Arial"/>
          <w:i/>
          <w:iCs/>
          <w:color w:val="000000"/>
          <w:u w:val="single"/>
        </w:rPr>
        <w:t>Persons covered</w:t>
      </w:r>
      <w:r w:rsidR="00E41E3B" w:rsidRPr="00E41E3B">
        <w:rPr>
          <w:rFonts w:eastAsia="Times New Roman" w:cs="Arial"/>
          <w:i/>
          <w:iCs/>
          <w:color w:val="000000"/>
        </w:rPr>
        <w:t>.</w:t>
      </w:r>
      <w:r w:rsidR="00E41E3B" w:rsidRPr="00813A8D">
        <w:rPr>
          <w:rFonts w:eastAsia="Times New Roman" w:cs="Arial"/>
          <w:color w:val="000000"/>
        </w:rPr>
        <w:t> </w:t>
      </w:r>
      <w:r w:rsidR="00E41E3B" w:rsidRPr="00E41E3B">
        <w:rPr>
          <w:rFonts w:eastAsia="Times New Roman" w:cs="Arial"/>
          <w:color w:val="000000"/>
        </w:rPr>
        <w:t>The conflict of interest provisions o</w:t>
      </w:r>
      <w:bookmarkStart w:id="0" w:name="_GoBack"/>
      <w:bookmarkEnd w:id="0"/>
      <w:r w:rsidR="00E41E3B" w:rsidRPr="00E41E3B">
        <w:rPr>
          <w:rFonts w:eastAsia="Times New Roman" w:cs="Arial"/>
          <w:color w:val="000000"/>
        </w:rPr>
        <w:t xml:space="preserve">f paragraph (b) of this section apply to any person who is an employee, agent, consultant, officer, or elected official or appointed official of the recipient, or of any designated public agencies, or of </w:t>
      </w:r>
      <w:r w:rsidRPr="00813A8D">
        <w:rPr>
          <w:rFonts w:eastAsia="Times New Roman" w:cs="Arial"/>
          <w:color w:val="000000"/>
        </w:rPr>
        <w:t>sub recipients</w:t>
      </w:r>
      <w:r w:rsidR="00E41E3B" w:rsidRPr="00E41E3B">
        <w:rPr>
          <w:rFonts w:eastAsia="Times New Roman" w:cs="Arial"/>
          <w:color w:val="000000"/>
        </w:rPr>
        <w:t xml:space="preserve"> that are receiving funds under this part.</w:t>
      </w:r>
    </w:p>
    <w:p w:rsidR="00AE0944" w:rsidRPr="00813A8D" w:rsidRDefault="00AE0944" w:rsidP="00AE0944">
      <w:pPr>
        <w:rPr>
          <w:b/>
          <w:sz w:val="24"/>
          <w:szCs w:val="24"/>
        </w:rPr>
      </w:pPr>
      <w:r w:rsidRPr="00813A8D">
        <w:rPr>
          <w:b/>
          <w:sz w:val="24"/>
          <w:szCs w:val="24"/>
        </w:rPr>
        <w:t>Community Development Block Grant</w:t>
      </w:r>
    </w:p>
    <w:tbl>
      <w:tblPr>
        <w:tblStyle w:val="TableGrid"/>
        <w:tblW w:w="0" w:type="auto"/>
        <w:tblLook w:val="04A0" w:firstRow="1" w:lastRow="0" w:firstColumn="1" w:lastColumn="0" w:noHBand="0" w:noVBand="1"/>
      </w:tblPr>
      <w:tblGrid>
        <w:gridCol w:w="9350"/>
      </w:tblGrid>
      <w:tr w:rsidR="00AE0944" w:rsidRPr="00813A8D" w:rsidTr="00AE0944">
        <w:tc>
          <w:tcPr>
            <w:tcW w:w="9576" w:type="dxa"/>
          </w:tcPr>
          <w:p w:rsidR="00AE0944" w:rsidRPr="00813A8D" w:rsidRDefault="00AE0944" w:rsidP="00AE0944">
            <w:pPr>
              <w:pStyle w:val="ListParagraph"/>
              <w:numPr>
                <w:ilvl w:val="0"/>
                <w:numId w:val="3"/>
              </w:numPr>
              <w:jc w:val="both"/>
              <w:rPr>
                <w:rFonts w:asciiTheme="minorHAnsi" w:hAnsiTheme="minorHAnsi"/>
                <w:sz w:val="22"/>
                <w:szCs w:val="22"/>
              </w:rPr>
            </w:pPr>
            <w:r w:rsidRPr="00813A8D">
              <w:rPr>
                <w:rFonts w:asciiTheme="minorHAnsi" w:hAnsiTheme="minorHAnsi"/>
                <w:sz w:val="22"/>
                <w:szCs w:val="22"/>
              </w:rPr>
              <w:t>There are no persons involved with this potential CDBG project who have family or business ties with any of the local government elected officials or local government staff.</w:t>
            </w:r>
          </w:p>
        </w:tc>
      </w:tr>
      <w:tr w:rsidR="00AE0944" w:rsidRPr="00813A8D" w:rsidTr="00AE0944">
        <w:tc>
          <w:tcPr>
            <w:tcW w:w="9576" w:type="dxa"/>
          </w:tcPr>
          <w:p w:rsidR="00AE0944" w:rsidRPr="00813A8D" w:rsidRDefault="00AE0944" w:rsidP="00AE0944">
            <w:pPr>
              <w:pStyle w:val="ListParagraph"/>
              <w:numPr>
                <w:ilvl w:val="0"/>
                <w:numId w:val="3"/>
              </w:numPr>
              <w:jc w:val="both"/>
              <w:rPr>
                <w:rFonts w:asciiTheme="minorHAnsi" w:hAnsiTheme="minorHAnsi"/>
                <w:sz w:val="22"/>
                <w:szCs w:val="22"/>
              </w:rPr>
            </w:pPr>
            <w:r w:rsidRPr="00813A8D">
              <w:rPr>
                <w:rFonts w:asciiTheme="minorHAnsi" w:hAnsiTheme="minorHAnsi"/>
                <w:sz w:val="22"/>
                <w:szCs w:val="22"/>
              </w:rPr>
              <w:t>There are no persons involved with this potential CDBG project that requested or received an opinion about a potential conflict of interest from an attorney or from the North Carolina Ethics Commission.</w:t>
            </w:r>
          </w:p>
        </w:tc>
      </w:tr>
      <w:tr w:rsidR="00AE0944" w:rsidRPr="00813A8D" w:rsidTr="00AE0944">
        <w:tc>
          <w:tcPr>
            <w:tcW w:w="9576" w:type="dxa"/>
          </w:tcPr>
          <w:p w:rsidR="00AE0944" w:rsidRPr="00813A8D" w:rsidRDefault="00AE0944" w:rsidP="00AE0944">
            <w:pPr>
              <w:pStyle w:val="ListParagraph"/>
              <w:numPr>
                <w:ilvl w:val="0"/>
                <w:numId w:val="3"/>
              </w:numPr>
              <w:jc w:val="both"/>
              <w:rPr>
                <w:rFonts w:asciiTheme="minorHAnsi" w:hAnsiTheme="minorHAnsi"/>
                <w:sz w:val="22"/>
                <w:szCs w:val="22"/>
              </w:rPr>
            </w:pPr>
            <w:r w:rsidRPr="00813A8D">
              <w:rPr>
                <w:rFonts w:asciiTheme="minorHAnsi" w:hAnsiTheme="minorHAnsi"/>
                <w:sz w:val="22"/>
                <w:szCs w:val="22"/>
              </w:rPr>
              <w:t>There are no persons involved with this potential CDBG project who have an ownership interest in an entity that is directly affected by activities proposed in the application.</w:t>
            </w:r>
          </w:p>
        </w:tc>
      </w:tr>
      <w:tr w:rsidR="00AE0944" w:rsidRPr="00813A8D" w:rsidTr="00AE0944">
        <w:tc>
          <w:tcPr>
            <w:tcW w:w="9576" w:type="dxa"/>
          </w:tcPr>
          <w:p w:rsidR="00AE0944" w:rsidRPr="00813A8D" w:rsidRDefault="00AE0944" w:rsidP="00AE0944">
            <w:pPr>
              <w:pStyle w:val="ListParagraph"/>
              <w:numPr>
                <w:ilvl w:val="0"/>
                <w:numId w:val="3"/>
              </w:numPr>
              <w:jc w:val="both"/>
              <w:rPr>
                <w:rFonts w:asciiTheme="minorHAnsi" w:hAnsiTheme="minorHAnsi"/>
                <w:sz w:val="22"/>
                <w:szCs w:val="22"/>
              </w:rPr>
            </w:pPr>
            <w:r w:rsidRPr="00813A8D">
              <w:rPr>
                <w:rFonts w:asciiTheme="minorHAnsi" w:hAnsiTheme="minorHAnsi"/>
                <w:sz w:val="22"/>
                <w:szCs w:val="22"/>
              </w:rPr>
              <w:t>There won’t be any persons involved with this potential CDBG project who will derive any income or commission as a direct result of action taken by the local government elected board or its staff.</w:t>
            </w:r>
          </w:p>
        </w:tc>
      </w:tr>
    </w:tbl>
    <w:p w:rsidR="00AE0944" w:rsidRPr="00813A8D" w:rsidRDefault="00AE0944" w:rsidP="00AE0944">
      <w:pPr>
        <w:jc w:val="both"/>
      </w:pPr>
    </w:p>
    <w:p w:rsidR="00AE0944" w:rsidRPr="00813A8D" w:rsidRDefault="00AE0944" w:rsidP="00794760">
      <w:pPr>
        <w:jc w:val="both"/>
      </w:pPr>
      <w:r w:rsidRPr="00813A8D">
        <w:rPr>
          <w:noProof/>
        </w:rPr>
        <mc:AlternateContent>
          <mc:Choice Requires="wps">
            <w:drawing>
              <wp:anchor distT="0" distB="0" distL="114300" distR="114300" simplePos="0" relativeHeight="251659264" behindDoc="0" locked="0" layoutInCell="1" allowOverlap="1" wp14:anchorId="4CA602BC" wp14:editId="17C3B413">
                <wp:simplePos x="0" y="0"/>
                <wp:positionH relativeFrom="column">
                  <wp:posOffset>-55659</wp:posOffset>
                </wp:positionH>
                <wp:positionV relativeFrom="paragraph">
                  <wp:posOffset>33324</wp:posOffset>
                </wp:positionV>
                <wp:extent cx="6082665" cy="0"/>
                <wp:effectExtent l="0" t="19050" r="13335" b="19050"/>
                <wp:wrapNone/>
                <wp:docPr id="1" name="Straight Connector 1"/>
                <wp:cNvGraphicFramePr/>
                <a:graphic xmlns:a="http://schemas.openxmlformats.org/drawingml/2006/main">
                  <a:graphicData uri="http://schemas.microsoft.com/office/word/2010/wordprocessingShape">
                    <wps:wsp>
                      <wps:cNvCnPr/>
                      <wps:spPr>
                        <a:xfrm>
                          <a:off x="0" y="0"/>
                          <a:ext cx="608266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37DE0F"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pt,2.6pt" to="474.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" strokecolor="black [3213]" strokeweight="2.25pt"/>
            </w:pict>
          </mc:Fallback>
        </mc:AlternateContent>
      </w:r>
    </w:p>
    <w:p w:rsidR="00AE0944" w:rsidRPr="00813A8D" w:rsidRDefault="00AE0944" w:rsidP="00794760">
      <w:pPr>
        <w:jc w:val="both"/>
      </w:pPr>
      <w:r w:rsidRPr="00813A8D">
        <w:t>I have read and understand the Conflict of Interest Disclosure</w:t>
      </w:r>
      <w:r w:rsidR="00BB362E" w:rsidRPr="00813A8D">
        <w:t xml:space="preserve"> Form. I have disclosed all information required by this disclosure, if any, in an attached statement. I agree to comply with any conditions or restrictions imposed by the federal regulations under the Community Development Block Grant program to reduce or eliminate actual and/or potential conflicts of interest. I will update this disclosure form promptly, if relevant circumstances change. I understand that this Disclosure is not a confidential do</w:t>
      </w:r>
      <w:r w:rsidR="00813A8D" w:rsidRPr="00813A8D">
        <w:t>cument.</w:t>
      </w:r>
    </w:p>
    <w:tbl>
      <w:tblPr>
        <w:tblW w:w="0" w:type="auto"/>
        <w:tblLook w:val="04A0" w:firstRow="1" w:lastRow="0" w:firstColumn="1" w:lastColumn="0" w:noHBand="0" w:noVBand="1"/>
      </w:tblPr>
      <w:tblGrid>
        <w:gridCol w:w="2525"/>
        <w:gridCol w:w="6835"/>
      </w:tblGrid>
      <w:tr w:rsidR="000A46F1" w:rsidRPr="00813A8D" w:rsidTr="003E79B6">
        <w:tc>
          <w:tcPr>
            <w:tcW w:w="3258" w:type="dxa"/>
          </w:tcPr>
          <w:p w:rsidR="000A46F1" w:rsidRPr="00813A8D" w:rsidRDefault="000A46F1" w:rsidP="003E79B6">
            <w:pPr>
              <w:spacing w:before="240" w:line="240" w:lineRule="auto"/>
              <w:jc w:val="left"/>
            </w:pPr>
          </w:p>
          <w:p w:rsidR="000A46F1" w:rsidRPr="00813A8D" w:rsidRDefault="000A46F1" w:rsidP="003E79B6">
            <w:pPr>
              <w:spacing w:before="240" w:line="240" w:lineRule="auto"/>
              <w:jc w:val="left"/>
              <w:rPr>
                <w:u w:val="single"/>
              </w:rPr>
            </w:pPr>
            <w:r w:rsidRPr="00813A8D">
              <w:t>Name of Chief Elected Official</w:t>
            </w:r>
          </w:p>
        </w:tc>
        <w:tc>
          <w:tcPr>
            <w:tcW w:w="7758" w:type="dxa"/>
          </w:tcPr>
          <w:p w:rsidR="000A46F1" w:rsidRPr="00813A8D" w:rsidRDefault="000A46F1" w:rsidP="003E79B6">
            <w:pPr>
              <w:spacing w:before="240" w:line="240" w:lineRule="auto"/>
              <w:jc w:val="left"/>
              <w:rPr>
                <w:sz w:val="24"/>
                <w:szCs w:val="24"/>
              </w:rPr>
            </w:pPr>
          </w:p>
          <w:p w:rsidR="000A46F1" w:rsidRPr="00813A8D" w:rsidRDefault="000A46F1" w:rsidP="003E79B6">
            <w:pPr>
              <w:spacing w:before="240" w:line="240" w:lineRule="auto"/>
              <w:jc w:val="left"/>
              <w:rPr>
                <w:sz w:val="24"/>
                <w:szCs w:val="24"/>
              </w:rPr>
            </w:pPr>
            <w:r w:rsidRPr="00813A8D">
              <w:rPr>
                <w:sz w:val="24"/>
                <w:szCs w:val="24"/>
              </w:rPr>
              <w:t>________________________________________</w:t>
            </w:r>
          </w:p>
        </w:tc>
      </w:tr>
      <w:tr w:rsidR="000A46F1" w:rsidRPr="00813A8D" w:rsidTr="003E79B6">
        <w:tc>
          <w:tcPr>
            <w:tcW w:w="3258" w:type="dxa"/>
          </w:tcPr>
          <w:p w:rsidR="000A46F1" w:rsidRPr="00813A8D" w:rsidRDefault="000A46F1" w:rsidP="003E79B6">
            <w:pPr>
              <w:spacing w:before="240" w:line="240" w:lineRule="auto"/>
              <w:jc w:val="left"/>
              <w:rPr>
                <w:u w:val="single"/>
              </w:rPr>
            </w:pPr>
            <w:r w:rsidRPr="00813A8D">
              <w:t>Title</w:t>
            </w:r>
          </w:p>
        </w:tc>
        <w:tc>
          <w:tcPr>
            <w:tcW w:w="7758" w:type="dxa"/>
          </w:tcPr>
          <w:p w:rsidR="000A46F1" w:rsidRPr="00813A8D" w:rsidRDefault="000A46F1" w:rsidP="003E79B6">
            <w:pPr>
              <w:spacing w:before="240" w:line="240" w:lineRule="auto"/>
              <w:jc w:val="left"/>
              <w:rPr>
                <w:sz w:val="24"/>
                <w:szCs w:val="24"/>
              </w:rPr>
            </w:pPr>
            <w:r w:rsidRPr="00813A8D">
              <w:rPr>
                <w:sz w:val="24"/>
                <w:szCs w:val="24"/>
              </w:rPr>
              <w:t>________________________________________</w:t>
            </w:r>
          </w:p>
        </w:tc>
      </w:tr>
      <w:tr w:rsidR="000A46F1" w:rsidRPr="00813A8D" w:rsidTr="003E79B6">
        <w:tc>
          <w:tcPr>
            <w:tcW w:w="3258" w:type="dxa"/>
          </w:tcPr>
          <w:p w:rsidR="000A46F1" w:rsidRPr="00813A8D" w:rsidRDefault="000A46F1" w:rsidP="003E79B6">
            <w:pPr>
              <w:spacing w:before="240" w:line="240" w:lineRule="auto"/>
              <w:jc w:val="left"/>
              <w:rPr>
                <w:u w:val="single"/>
              </w:rPr>
            </w:pPr>
            <w:r w:rsidRPr="00813A8D">
              <w:t>Signature</w:t>
            </w:r>
          </w:p>
        </w:tc>
        <w:tc>
          <w:tcPr>
            <w:tcW w:w="7758" w:type="dxa"/>
          </w:tcPr>
          <w:p w:rsidR="000A46F1" w:rsidRPr="00813A8D" w:rsidRDefault="000A46F1" w:rsidP="003E79B6">
            <w:pPr>
              <w:spacing w:before="240" w:line="240" w:lineRule="auto"/>
              <w:jc w:val="left"/>
              <w:rPr>
                <w:sz w:val="24"/>
                <w:szCs w:val="24"/>
              </w:rPr>
            </w:pPr>
            <w:r w:rsidRPr="00813A8D">
              <w:rPr>
                <w:sz w:val="24"/>
                <w:szCs w:val="24"/>
              </w:rPr>
              <w:t>________________________________________</w:t>
            </w:r>
          </w:p>
        </w:tc>
      </w:tr>
      <w:tr w:rsidR="000A46F1" w:rsidRPr="00813A8D" w:rsidTr="003E79B6">
        <w:tc>
          <w:tcPr>
            <w:tcW w:w="3258" w:type="dxa"/>
          </w:tcPr>
          <w:p w:rsidR="000A46F1" w:rsidRPr="00813A8D" w:rsidRDefault="000A46F1" w:rsidP="003E79B6">
            <w:pPr>
              <w:spacing w:before="240" w:line="240" w:lineRule="auto"/>
              <w:jc w:val="left"/>
              <w:rPr>
                <w:u w:val="single"/>
              </w:rPr>
            </w:pPr>
            <w:r w:rsidRPr="00813A8D">
              <w:t>Date</w:t>
            </w:r>
          </w:p>
        </w:tc>
        <w:tc>
          <w:tcPr>
            <w:tcW w:w="7758" w:type="dxa"/>
          </w:tcPr>
          <w:p w:rsidR="000A46F1" w:rsidRPr="00813A8D" w:rsidRDefault="000A46F1" w:rsidP="003E79B6">
            <w:pPr>
              <w:spacing w:before="240" w:line="240" w:lineRule="auto"/>
              <w:jc w:val="left"/>
              <w:rPr>
                <w:sz w:val="24"/>
                <w:szCs w:val="24"/>
              </w:rPr>
            </w:pPr>
            <w:r w:rsidRPr="00813A8D">
              <w:rPr>
                <w:sz w:val="24"/>
                <w:szCs w:val="24"/>
              </w:rPr>
              <w:t>________________________________________</w:t>
            </w:r>
          </w:p>
        </w:tc>
      </w:tr>
    </w:tbl>
    <w:p w:rsidR="000A46F1" w:rsidRPr="00813A8D" w:rsidRDefault="000A46F1" w:rsidP="000A46F1">
      <w:pPr>
        <w:jc w:val="left"/>
      </w:pPr>
    </w:p>
    <w:sectPr w:rsidR="000A46F1" w:rsidRPr="00813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4543"/>
    <w:multiLevelType w:val="hybridMultilevel"/>
    <w:tmpl w:val="FDC07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96D0C"/>
    <w:multiLevelType w:val="hybridMultilevel"/>
    <w:tmpl w:val="376EE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016C8D"/>
    <w:multiLevelType w:val="hybridMultilevel"/>
    <w:tmpl w:val="773C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6F1"/>
    <w:rsid w:val="000A46F1"/>
    <w:rsid w:val="0025025A"/>
    <w:rsid w:val="00350C96"/>
    <w:rsid w:val="00367A5F"/>
    <w:rsid w:val="003F10C8"/>
    <w:rsid w:val="00794760"/>
    <w:rsid w:val="00813A8D"/>
    <w:rsid w:val="00AE0944"/>
    <w:rsid w:val="00BB362E"/>
    <w:rsid w:val="00DD586B"/>
    <w:rsid w:val="00E41E3B"/>
    <w:rsid w:val="00E9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EFBD"/>
  <w15:docId w15:val="{438D7967-4879-4259-BB10-1118A1C5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A46F1"/>
    <w:pPr>
      <w:spacing w:after="0"/>
      <w:jc w:val="center"/>
    </w:pPr>
  </w:style>
  <w:style w:type="paragraph" w:styleId="Heading2">
    <w:name w:val="heading 2"/>
    <w:basedOn w:val="Normal"/>
    <w:link w:val="Heading2Char"/>
    <w:uiPriority w:val="9"/>
    <w:qFormat/>
    <w:rsid w:val="00E41E3B"/>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6F1"/>
    <w:pPr>
      <w:spacing w:line="240" w:lineRule="auto"/>
      <w:ind w:left="720"/>
      <w:contextualSpacing/>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41E3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41E3B"/>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1E3B"/>
  </w:style>
  <w:style w:type="table" w:styleId="TableGrid">
    <w:name w:val="Table Grid"/>
    <w:basedOn w:val="TableNormal"/>
    <w:uiPriority w:val="59"/>
    <w:rsid w:val="00AE0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6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Liney Marcela Vargas</dc:creator>
  <cp:lastModifiedBy>Vargas, Liney M</cp:lastModifiedBy>
  <cp:revision>2</cp:revision>
  <cp:lastPrinted>2015-07-29T17:17:00Z</cp:lastPrinted>
  <dcterms:created xsi:type="dcterms:W3CDTF">2017-02-23T23:01:00Z</dcterms:created>
  <dcterms:modified xsi:type="dcterms:W3CDTF">2017-02-23T23:01:00Z</dcterms:modified>
</cp:coreProperties>
</file>