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7D" w:rsidRPr="00B71988" w:rsidRDefault="00C24C7D" w:rsidP="00C24C7D">
      <w:pPr>
        <w:spacing w:after="0"/>
        <w:jc w:val="center"/>
        <w:rPr>
          <w:b/>
          <w:sz w:val="30"/>
          <w:szCs w:val="30"/>
        </w:rPr>
      </w:pPr>
      <w:bookmarkStart w:id="0" w:name="_GoBack"/>
      <w:bookmarkEnd w:id="0"/>
      <w:r w:rsidRPr="00B71988">
        <w:rPr>
          <w:b/>
          <w:sz w:val="30"/>
          <w:szCs w:val="30"/>
        </w:rPr>
        <w:t>Guidance for February 23, 2015 Meeting of the MDC Team</w:t>
      </w:r>
    </w:p>
    <w:p w:rsidR="00C24C7D" w:rsidRPr="00B71988" w:rsidRDefault="00C24C7D" w:rsidP="00C24C7D">
      <w:pPr>
        <w:spacing w:after="0"/>
        <w:rPr>
          <w:sz w:val="28"/>
        </w:rPr>
      </w:pPr>
    </w:p>
    <w:p w:rsidR="00C24C7D" w:rsidRPr="00B71988" w:rsidRDefault="00C24C7D" w:rsidP="00C24C7D">
      <w:pPr>
        <w:pStyle w:val="Default"/>
        <w:rPr>
          <w:rFonts w:asciiTheme="minorHAnsi" w:hAnsiTheme="minorHAnsi"/>
          <w:b/>
          <w:color w:val="auto"/>
          <w:sz w:val="26"/>
          <w:szCs w:val="26"/>
        </w:rPr>
      </w:pPr>
    </w:p>
    <w:p w:rsidR="00C24C7D" w:rsidRPr="00B71988" w:rsidRDefault="00C24C7D" w:rsidP="00C24C7D">
      <w:pPr>
        <w:pStyle w:val="Default"/>
        <w:rPr>
          <w:rFonts w:asciiTheme="minorHAnsi" w:hAnsiTheme="minorHAnsi"/>
          <w:b/>
          <w:color w:val="auto"/>
          <w:sz w:val="26"/>
          <w:szCs w:val="26"/>
        </w:rPr>
      </w:pPr>
      <w:r w:rsidRPr="00B71988">
        <w:rPr>
          <w:rFonts w:asciiTheme="minorHAnsi" w:hAnsiTheme="minorHAnsi"/>
          <w:b/>
          <w:color w:val="auto"/>
          <w:sz w:val="26"/>
          <w:szCs w:val="26"/>
        </w:rPr>
        <w:t>Language in SL 2013-82:</w:t>
      </w:r>
    </w:p>
    <w:p w:rsidR="00C24C7D" w:rsidRPr="00B71988" w:rsidRDefault="00C24C7D" w:rsidP="005261AB">
      <w:pPr>
        <w:pStyle w:val="Default"/>
        <w:ind w:left="360"/>
        <w:rPr>
          <w:rFonts w:asciiTheme="minorHAnsi" w:hAnsiTheme="minorHAnsi"/>
          <w:color w:val="auto"/>
          <w:sz w:val="23"/>
          <w:szCs w:val="23"/>
        </w:rPr>
      </w:pPr>
      <w:r w:rsidRPr="00B71988">
        <w:rPr>
          <w:rFonts w:asciiTheme="minorHAnsi" w:hAnsiTheme="minorHAnsi"/>
          <w:color w:val="auto"/>
        </w:rPr>
        <w:t xml:space="preserve"> </w:t>
      </w:r>
      <w:r w:rsidRPr="00B71988">
        <w:rPr>
          <w:rFonts w:asciiTheme="minorHAnsi" w:hAnsiTheme="minorHAnsi"/>
          <w:color w:val="auto"/>
          <w:sz w:val="23"/>
          <w:szCs w:val="23"/>
        </w:rPr>
        <w:t>"</w:t>
      </w:r>
      <w:r w:rsidRPr="00B71988">
        <w:rPr>
          <w:rFonts w:asciiTheme="minorHAnsi" w:hAnsiTheme="minorHAnsi"/>
          <w:b/>
          <w:bCs/>
          <w:color w:val="auto"/>
          <w:sz w:val="23"/>
          <w:szCs w:val="23"/>
        </w:rPr>
        <w:t xml:space="preserve">§ 143-214.7B. Fast-track permitting for stormwater management systems. </w:t>
      </w:r>
    </w:p>
    <w:p w:rsidR="00C24C7D" w:rsidRPr="00B71988" w:rsidRDefault="00C24C7D" w:rsidP="005261AB">
      <w:pPr>
        <w:pStyle w:val="Default"/>
        <w:ind w:left="360"/>
        <w:rPr>
          <w:rFonts w:asciiTheme="minorHAnsi" w:hAnsiTheme="minorHAnsi"/>
          <w:color w:val="auto"/>
          <w:sz w:val="23"/>
          <w:szCs w:val="23"/>
        </w:rPr>
      </w:pPr>
      <w:r w:rsidRPr="00B71988">
        <w:rPr>
          <w:rFonts w:asciiTheme="minorHAnsi" w:hAnsiTheme="minorHAnsi"/>
          <w:color w:val="auto"/>
          <w:sz w:val="23"/>
          <w:szCs w:val="23"/>
        </w:rPr>
        <w:t>The Commission shall adopt rules to establish a fast-track permitting process that allows for the issuance of stormwater management system permits without a technical review when the permit applicant (</w:t>
      </w:r>
      <w:proofErr w:type="spellStart"/>
      <w:r w:rsidRPr="00B71988">
        <w:rPr>
          <w:rFonts w:asciiTheme="minorHAnsi" w:hAnsiTheme="minorHAnsi"/>
          <w:color w:val="auto"/>
          <w:sz w:val="23"/>
          <w:szCs w:val="23"/>
        </w:rPr>
        <w:t>i</w:t>
      </w:r>
      <w:proofErr w:type="spellEnd"/>
      <w:r w:rsidRPr="00B71988">
        <w:rPr>
          <w:rFonts w:asciiTheme="minorHAnsi" w:hAnsiTheme="minorHAnsi"/>
          <w:color w:val="auto"/>
          <w:sz w:val="23"/>
          <w:szCs w:val="23"/>
        </w:rPr>
        <w:t xml:space="preserve">) complies with the Minimum Design Criteria for stormwater management developed by the Department and (ii) submits a permit application prepared by a qualified professional. In developing the rules, the Commission shall consult with a technical working group that consists of industry experts, engineers, environmental consultants, relevant faculty from The University of North Carolina, and other interested stakeholders. The rules shall, at a minimum, provide for all of the following: </w:t>
      </w:r>
    </w:p>
    <w:p w:rsidR="00C24C7D" w:rsidRPr="00B71988" w:rsidRDefault="00C24C7D" w:rsidP="005261AB">
      <w:pPr>
        <w:pStyle w:val="Default"/>
        <w:ind w:left="1080" w:hanging="360"/>
        <w:rPr>
          <w:rFonts w:asciiTheme="minorHAnsi" w:hAnsiTheme="minorHAnsi"/>
          <w:color w:val="auto"/>
          <w:sz w:val="23"/>
          <w:szCs w:val="23"/>
        </w:rPr>
      </w:pPr>
      <w:r w:rsidRPr="00B71988">
        <w:rPr>
          <w:rFonts w:asciiTheme="minorHAnsi" w:hAnsiTheme="minorHAnsi"/>
          <w:color w:val="auto"/>
          <w:sz w:val="23"/>
          <w:szCs w:val="23"/>
        </w:rPr>
        <w:t xml:space="preserve">(1) </w:t>
      </w:r>
      <w:r w:rsidRPr="00B71988">
        <w:rPr>
          <w:rFonts w:asciiTheme="minorHAnsi" w:hAnsiTheme="minorHAnsi"/>
          <w:color w:val="auto"/>
          <w:sz w:val="23"/>
          <w:szCs w:val="23"/>
        </w:rPr>
        <w:tab/>
        <w:t xml:space="preserve">A process for permit application, review, and determination. </w:t>
      </w:r>
    </w:p>
    <w:p w:rsidR="00C24C7D" w:rsidRPr="00B71988" w:rsidRDefault="00C24C7D" w:rsidP="005261AB">
      <w:pPr>
        <w:pStyle w:val="Default"/>
        <w:ind w:left="1080" w:hanging="360"/>
        <w:rPr>
          <w:rFonts w:asciiTheme="minorHAnsi" w:hAnsiTheme="minorHAnsi"/>
          <w:color w:val="auto"/>
          <w:sz w:val="23"/>
          <w:szCs w:val="23"/>
        </w:rPr>
      </w:pPr>
      <w:r w:rsidRPr="00B71988">
        <w:rPr>
          <w:rFonts w:asciiTheme="minorHAnsi" w:hAnsiTheme="minorHAnsi"/>
          <w:color w:val="auto"/>
          <w:sz w:val="23"/>
          <w:szCs w:val="23"/>
        </w:rPr>
        <w:t xml:space="preserve">(2) </w:t>
      </w:r>
      <w:r w:rsidRPr="00B71988">
        <w:rPr>
          <w:rFonts w:asciiTheme="minorHAnsi" w:hAnsiTheme="minorHAnsi"/>
          <w:color w:val="auto"/>
          <w:sz w:val="23"/>
          <w:szCs w:val="23"/>
        </w:rPr>
        <w:tab/>
        <w:t xml:space="preserve">The types of professionals that are qualified to prepare a permit application submitted pursuant to this section and the types of qualifications such professionals must have. </w:t>
      </w:r>
    </w:p>
    <w:p w:rsidR="00C24C7D" w:rsidRPr="00B71988" w:rsidRDefault="00C24C7D" w:rsidP="005261AB">
      <w:pPr>
        <w:pStyle w:val="Default"/>
        <w:ind w:left="1080" w:hanging="360"/>
        <w:rPr>
          <w:rFonts w:asciiTheme="minorHAnsi" w:hAnsiTheme="minorHAnsi"/>
          <w:color w:val="auto"/>
          <w:sz w:val="23"/>
          <w:szCs w:val="23"/>
        </w:rPr>
      </w:pPr>
      <w:r w:rsidRPr="00B71988">
        <w:rPr>
          <w:rFonts w:asciiTheme="minorHAnsi" w:hAnsiTheme="minorHAnsi"/>
          <w:color w:val="auto"/>
          <w:sz w:val="23"/>
          <w:szCs w:val="23"/>
        </w:rPr>
        <w:t xml:space="preserve">(3) </w:t>
      </w:r>
      <w:r w:rsidRPr="00B71988">
        <w:rPr>
          <w:rFonts w:asciiTheme="minorHAnsi" w:hAnsiTheme="minorHAnsi"/>
          <w:color w:val="auto"/>
          <w:sz w:val="23"/>
          <w:szCs w:val="23"/>
        </w:rPr>
        <w:tab/>
        <w:t xml:space="preserve">A process for ensuring compliance with the Minimum Design Criteria. </w:t>
      </w:r>
    </w:p>
    <w:p w:rsidR="00C24C7D" w:rsidRPr="00B71988" w:rsidRDefault="00C24C7D" w:rsidP="005261AB">
      <w:pPr>
        <w:pStyle w:val="Default"/>
        <w:ind w:left="1080" w:hanging="360"/>
        <w:rPr>
          <w:rFonts w:asciiTheme="minorHAnsi" w:hAnsiTheme="minorHAnsi"/>
          <w:color w:val="auto"/>
          <w:sz w:val="23"/>
          <w:szCs w:val="23"/>
        </w:rPr>
      </w:pPr>
      <w:r w:rsidRPr="00B71988">
        <w:rPr>
          <w:rFonts w:asciiTheme="minorHAnsi" w:hAnsiTheme="minorHAnsi"/>
          <w:color w:val="auto"/>
          <w:sz w:val="23"/>
          <w:szCs w:val="23"/>
        </w:rPr>
        <w:t xml:space="preserve">(4) </w:t>
      </w:r>
      <w:r w:rsidRPr="00B71988">
        <w:rPr>
          <w:rFonts w:asciiTheme="minorHAnsi" w:hAnsiTheme="minorHAnsi"/>
          <w:color w:val="auto"/>
          <w:sz w:val="23"/>
          <w:szCs w:val="23"/>
        </w:rPr>
        <w:tab/>
        <w:t xml:space="preserve">That permits issued pursuant to the fast-track permitting process comply with State water quality standards adopted pursuant to G.S. 143-214.1, 143-214.7, and 143-215.3(a)(1). </w:t>
      </w:r>
    </w:p>
    <w:p w:rsidR="00C24C7D" w:rsidRPr="00B71988" w:rsidRDefault="00C24C7D" w:rsidP="005261AB">
      <w:pPr>
        <w:spacing w:line="240" w:lineRule="auto"/>
        <w:ind w:left="1080" w:hanging="360"/>
        <w:rPr>
          <w:sz w:val="23"/>
          <w:szCs w:val="23"/>
        </w:rPr>
      </w:pPr>
      <w:r w:rsidRPr="00B71988">
        <w:rPr>
          <w:sz w:val="23"/>
          <w:szCs w:val="23"/>
        </w:rPr>
        <w:t xml:space="preserve">(5) </w:t>
      </w:r>
      <w:r w:rsidRPr="00B71988">
        <w:rPr>
          <w:sz w:val="23"/>
          <w:szCs w:val="23"/>
        </w:rPr>
        <w:tab/>
        <w:t>A process for establishing the liability of a qualified professional who prepares a permit application for a stormwater management system that fails to comply with the Minimum Design Criteria."</w:t>
      </w:r>
    </w:p>
    <w:p w:rsidR="00C24C7D" w:rsidRPr="00B71988" w:rsidRDefault="00C24C7D" w:rsidP="00C24C7D">
      <w:pPr>
        <w:spacing w:line="240" w:lineRule="auto"/>
        <w:ind w:left="720" w:hanging="360"/>
        <w:rPr>
          <w:sz w:val="24"/>
          <w:szCs w:val="24"/>
        </w:rPr>
      </w:pPr>
    </w:p>
    <w:p w:rsidR="00C24C7D" w:rsidRPr="00B71988" w:rsidRDefault="00C24C7D" w:rsidP="00C24C7D">
      <w:pPr>
        <w:spacing w:after="0"/>
        <w:rPr>
          <w:b/>
          <w:sz w:val="26"/>
          <w:szCs w:val="26"/>
        </w:rPr>
      </w:pPr>
      <w:r w:rsidRPr="00B71988">
        <w:rPr>
          <w:b/>
          <w:sz w:val="26"/>
          <w:szCs w:val="26"/>
        </w:rPr>
        <w:t>Proposed Rule-Making Schedule</w:t>
      </w:r>
      <w:r w:rsidR="005261AB" w:rsidRPr="00B71988">
        <w:rPr>
          <w:b/>
          <w:sz w:val="26"/>
          <w:szCs w:val="26"/>
        </w:rPr>
        <w:t>:</w:t>
      </w:r>
    </w:p>
    <w:p w:rsidR="005261AB" w:rsidRPr="00B71988" w:rsidRDefault="005261AB" w:rsidP="00C24C7D">
      <w:pPr>
        <w:spacing w:after="0"/>
        <w:rPr>
          <w:b/>
          <w:sz w:val="8"/>
          <w:szCs w:val="26"/>
        </w:rPr>
      </w:pPr>
    </w:p>
    <w:p w:rsidR="00C24C7D" w:rsidRPr="00B71988" w:rsidRDefault="00C24C7D" w:rsidP="005261AB">
      <w:pPr>
        <w:spacing w:after="0" w:line="240" w:lineRule="auto"/>
        <w:ind w:firstLine="360"/>
        <w:rPr>
          <w:sz w:val="23"/>
          <w:szCs w:val="23"/>
        </w:rPr>
      </w:pPr>
      <w:r w:rsidRPr="00B71988">
        <w:rPr>
          <w:sz w:val="23"/>
          <w:szCs w:val="23"/>
        </w:rPr>
        <w:t>The fast-track rule must be adopted no later than May 2016.</w:t>
      </w:r>
      <w:r w:rsidRPr="00B71988">
        <w:rPr>
          <w:sz w:val="23"/>
          <w:szCs w:val="23"/>
        </w:rPr>
        <w:tab/>
        <w:t> </w:t>
      </w:r>
    </w:p>
    <w:p w:rsidR="00C24C7D" w:rsidRPr="00B71988" w:rsidRDefault="00C24C7D" w:rsidP="005261AB">
      <w:pPr>
        <w:spacing w:after="0" w:line="240" w:lineRule="auto"/>
        <w:ind w:left="2160" w:hanging="1800"/>
        <w:rPr>
          <w:sz w:val="23"/>
          <w:szCs w:val="23"/>
        </w:rPr>
      </w:pPr>
      <w:r w:rsidRPr="00B71988">
        <w:rPr>
          <w:sz w:val="23"/>
          <w:szCs w:val="23"/>
        </w:rPr>
        <w:t xml:space="preserve">Jul 8, 2015 </w:t>
      </w:r>
      <w:r w:rsidRPr="00B71988">
        <w:rPr>
          <w:sz w:val="23"/>
          <w:szCs w:val="23"/>
        </w:rPr>
        <w:tab/>
        <w:t>WQC approves rule text</w:t>
      </w:r>
    </w:p>
    <w:p w:rsidR="00C24C7D" w:rsidRPr="00B71988" w:rsidRDefault="00C24C7D" w:rsidP="005261AB">
      <w:pPr>
        <w:spacing w:after="0" w:line="240" w:lineRule="auto"/>
        <w:ind w:left="2160" w:hanging="1800"/>
        <w:rPr>
          <w:sz w:val="23"/>
          <w:szCs w:val="23"/>
        </w:rPr>
      </w:pPr>
      <w:r w:rsidRPr="00B71988">
        <w:rPr>
          <w:sz w:val="23"/>
          <w:szCs w:val="23"/>
        </w:rPr>
        <w:t xml:space="preserve">Jul - Oct 2015 </w:t>
      </w:r>
      <w:r w:rsidRPr="00B71988">
        <w:rPr>
          <w:sz w:val="23"/>
          <w:szCs w:val="23"/>
        </w:rPr>
        <w:tab/>
        <w:t>DEMLR develops fiscal note</w:t>
      </w:r>
    </w:p>
    <w:p w:rsidR="00C24C7D" w:rsidRPr="00B71988" w:rsidRDefault="00C24C7D" w:rsidP="005261AB">
      <w:pPr>
        <w:spacing w:after="0" w:line="240" w:lineRule="auto"/>
        <w:ind w:left="2160" w:hanging="1800"/>
        <w:rPr>
          <w:sz w:val="23"/>
          <w:szCs w:val="23"/>
        </w:rPr>
      </w:pPr>
      <w:r w:rsidRPr="00B71988">
        <w:rPr>
          <w:sz w:val="23"/>
          <w:szCs w:val="23"/>
        </w:rPr>
        <w:t xml:space="preserve">Nov 1, 2015 </w:t>
      </w:r>
      <w:r w:rsidRPr="00B71988">
        <w:rPr>
          <w:sz w:val="23"/>
          <w:szCs w:val="23"/>
        </w:rPr>
        <w:tab/>
        <w:t>OSBM certifies fiscal note</w:t>
      </w:r>
    </w:p>
    <w:p w:rsidR="00C24C7D" w:rsidRPr="00B71988" w:rsidRDefault="00C24C7D" w:rsidP="005261AB">
      <w:pPr>
        <w:spacing w:after="0" w:line="240" w:lineRule="auto"/>
        <w:ind w:left="2160" w:hanging="1800"/>
        <w:rPr>
          <w:sz w:val="23"/>
          <w:szCs w:val="23"/>
        </w:rPr>
      </w:pPr>
      <w:r w:rsidRPr="00B71988">
        <w:rPr>
          <w:sz w:val="23"/>
          <w:szCs w:val="23"/>
        </w:rPr>
        <w:t xml:space="preserve">Nov 12, 2015 </w:t>
      </w:r>
      <w:r w:rsidRPr="00B71988">
        <w:rPr>
          <w:sz w:val="23"/>
          <w:szCs w:val="23"/>
        </w:rPr>
        <w:tab/>
        <w:t>WQC (30 day wavier) / EMC approves rule &amp; fiscal note</w:t>
      </w:r>
    </w:p>
    <w:p w:rsidR="00C24C7D" w:rsidRPr="00B71988" w:rsidRDefault="00C24C7D" w:rsidP="005261AB">
      <w:pPr>
        <w:spacing w:after="0" w:line="240" w:lineRule="auto"/>
        <w:ind w:left="2160" w:hanging="1800"/>
        <w:rPr>
          <w:sz w:val="23"/>
          <w:szCs w:val="23"/>
        </w:rPr>
      </w:pPr>
      <w:r w:rsidRPr="00B71988">
        <w:rPr>
          <w:sz w:val="23"/>
          <w:szCs w:val="23"/>
        </w:rPr>
        <w:t xml:space="preserve">Nov 20, 2015 </w:t>
      </w:r>
      <w:r w:rsidRPr="00B71988">
        <w:rPr>
          <w:sz w:val="23"/>
          <w:szCs w:val="23"/>
        </w:rPr>
        <w:tab/>
        <w:t>DEMLR’s files rule &amp; fiscal note in Register</w:t>
      </w:r>
    </w:p>
    <w:p w:rsidR="00C24C7D" w:rsidRPr="00B71988" w:rsidRDefault="00C24C7D" w:rsidP="005261AB">
      <w:pPr>
        <w:spacing w:after="0" w:line="240" w:lineRule="auto"/>
        <w:ind w:left="2160" w:hanging="1800"/>
        <w:rPr>
          <w:sz w:val="23"/>
          <w:szCs w:val="23"/>
        </w:rPr>
      </w:pPr>
      <w:r w:rsidRPr="00B71988">
        <w:rPr>
          <w:sz w:val="23"/>
          <w:szCs w:val="23"/>
        </w:rPr>
        <w:t xml:space="preserve">Dec 15, 2015 </w:t>
      </w:r>
      <w:r w:rsidRPr="00B71988">
        <w:rPr>
          <w:sz w:val="23"/>
          <w:szCs w:val="23"/>
        </w:rPr>
        <w:tab/>
        <w:t>Comment period begins (hearing after 12/29)</w:t>
      </w:r>
    </w:p>
    <w:p w:rsidR="00C24C7D" w:rsidRPr="00B71988" w:rsidRDefault="00C24C7D" w:rsidP="005261AB">
      <w:pPr>
        <w:spacing w:after="0" w:line="240" w:lineRule="auto"/>
        <w:ind w:left="2160" w:hanging="1800"/>
        <w:rPr>
          <w:sz w:val="23"/>
          <w:szCs w:val="23"/>
        </w:rPr>
      </w:pPr>
      <w:r w:rsidRPr="00B71988">
        <w:rPr>
          <w:sz w:val="23"/>
          <w:szCs w:val="23"/>
        </w:rPr>
        <w:t xml:space="preserve">Feb 16, 2016 </w:t>
      </w:r>
      <w:r w:rsidRPr="00B71988">
        <w:rPr>
          <w:sz w:val="23"/>
          <w:szCs w:val="23"/>
        </w:rPr>
        <w:tab/>
        <w:t>Comment period ends</w:t>
      </w:r>
    </w:p>
    <w:p w:rsidR="00C24C7D" w:rsidRPr="00B71988" w:rsidRDefault="00C24C7D" w:rsidP="005261AB">
      <w:pPr>
        <w:spacing w:after="0" w:line="240" w:lineRule="auto"/>
        <w:ind w:left="2160" w:hanging="1800"/>
        <w:rPr>
          <w:sz w:val="23"/>
          <w:szCs w:val="23"/>
        </w:rPr>
      </w:pPr>
      <w:r w:rsidRPr="00B71988">
        <w:rPr>
          <w:sz w:val="23"/>
          <w:szCs w:val="23"/>
        </w:rPr>
        <w:t xml:space="preserve">May 2016 </w:t>
      </w:r>
      <w:r w:rsidRPr="00B71988">
        <w:rPr>
          <w:sz w:val="23"/>
          <w:szCs w:val="23"/>
        </w:rPr>
        <w:tab/>
        <w:t xml:space="preserve">WQC (30 day waiver) / EMC adopts rule </w:t>
      </w:r>
    </w:p>
    <w:p w:rsidR="00C24C7D" w:rsidRPr="00B71988" w:rsidRDefault="00C24C7D" w:rsidP="00C24C7D">
      <w:pPr>
        <w:spacing w:after="0"/>
      </w:pPr>
    </w:p>
    <w:p w:rsidR="00C24C7D" w:rsidRPr="00B71988" w:rsidRDefault="00C24C7D" w:rsidP="005261AB">
      <w:pPr>
        <w:tabs>
          <w:tab w:val="left" w:pos="1763"/>
        </w:tabs>
        <w:spacing w:after="0" w:line="240" w:lineRule="auto"/>
        <w:ind w:left="360"/>
        <w:rPr>
          <w:rFonts w:eastAsia="Times New Roman" w:cs="Arial"/>
          <w:b/>
          <w:bCs/>
          <w:sz w:val="23"/>
          <w:szCs w:val="23"/>
        </w:rPr>
      </w:pPr>
      <w:r w:rsidRPr="00B71988">
        <w:rPr>
          <w:b/>
          <w:sz w:val="23"/>
          <w:szCs w:val="23"/>
        </w:rPr>
        <w:t xml:space="preserve">Note:  </w:t>
      </w:r>
      <w:r w:rsidRPr="00B71988">
        <w:rPr>
          <w:sz w:val="23"/>
          <w:szCs w:val="23"/>
        </w:rPr>
        <w:t>As soon as possible, a small technical group will develop MDC for dry ponds, innovative stormwater technologies and low density developments to present to the entire MDC team for review &amp; approval.</w:t>
      </w:r>
    </w:p>
    <w:p w:rsidR="00C24C7D" w:rsidRPr="00B71988" w:rsidRDefault="00C24C7D" w:rsidP="00B833FA">
      <w:pPr>
        <w:tabs>
          <w:tab w:val="left" w:pos="1763"/>
        </w:tabs>
        <w:spacing w:after="0" w:line="240" w:lineRule="auto"/>
        <w:ind w:left="103"/>
        <w:jc w:val="center"/>
        <w:rPr>
          <w:rFonts w:eastAsia="Times New Roman" w:cs="Arial"/>
          <w:b/>
          <w:bCs/>
          <w:sz w:val="24"/>
          <w:szCs w:val="20"/>
        </w:rPr>
      </w:pPr>
    </w:p>
    <w:p w:rsidR="00C24C7D" w:rsidRPr="00B71988" w:rsidRDefault="00C24C7D" w:rsidP="00B833FA">
      <w:pPr>
        <w:tabs>
          <w:tab w:val="left" w:pos="1763"/>
        </w:tabs>
        <w:spacing w:after="0" w:line="240" w:lineRule="auto"/>
        <w:ind w:left="103"/>
        <w:jc w:val="center"/>
        <w:rPr>
          <w:rFonts w:eastAsia="Times New Roman" w:cs="Arial"/>
          <w:b/>
          <w:bCs/>
          <w:sz w:val="24"/>
          <w:szCs w:val="20"/>
        </w:rPr>
      </w:pPr>
    </w:p>
    <w:p w:rsidR="00C24C7D" w:rsidRPr="00B71988" w:rsidRDefault="00C24C7D" w:rsidP="00B833FA">
      <w:pPr>
        <w:tabs>
          <w:tab w:val="left" w:pos="1763"/>
        </w:tabs>
        <w:spacing w:after="0" w:line="240" w:lineRule="auto"/>
        <w:ind w:left="103"/>
        <w:jc w:val="center"/>
        <w:rPr>
          <w:rFonts w:eastAsia="Times New Roman" w:cs="Arial"/>
          <w:b/>
          <w:bCs/>
          <w:sz w:val="24"/>
          <w:szCs w:val="20"/>
        </w:rPr>
      </w:pPr>
    </w:p>
    <w:p w:rsidR="00C24C7D" w:rsidRPr="00B71988" w:rsidRDefault="00C24C7D" w:rsidP="00B833FA">
      <w:pPr>
        <w:tabs>
          <w:tab w:val="left" w:pos="1763"/>
        </w:tabs>
        <w:spacing w:after="0" w:line="240" w:lineRule="auto"/>
        <w:ind w:left="103"/>
        <w:jc w:val="center"/>
        <w:rPr>
          <w:rFonts w:eastAsia="Times New Roman" w:cs="Arial"/>
          <w:b/>
          <w:bCs/>
          <w:sz w:val="24"/>
          <w:szCs w:val="20"/>
        </w:rPr>
      </w:pPr>
    </w:p>
    <w:p w:rsidR="00C24C7D" w:rsidRPr="00B71988" w:rsidRDefault="00B71988" w:rsidP="00B71988">
      <w:pPr>
        <w:tabs>
          <w:tab w:val="left" w:pos="1763"/>
        </w:tabs>
        <w:spacing w:after="0" w:line="240" w:lineRule="auto"/>
        <w:ind w:left="-360"/>
        <w:jc w:val="center"/>
        <w:rPr>
          <w:rFonts w:eastAsia="Times New Roman" w:cs="Arial"/>
          <w:b/>
          <w:bCs/>
          <w:sz w:val="24"/>
          <w:szCs w:val="20"/>
        </w:rPr>
      </w:pPr>
      <w:r w:rsidRPr="00B71988">
        <w:rPr>
          <w:rFonts w:eastAsia="Times New Roman" w:cs="Arial"/>
          <w:b/>
          <w:bCs/>
          <w:noProof/>
          <w:sz w:val="24"/>
          <w:szCs w:val="20"/>
        </w:rPr>
        <w:lastRenderedPageBreak/>
        <mc:AlternateContent>
          <mc:Choice Requires="wpg">
            <w:drawing>
              <wp:inline distT="0" distB="0" distL="0" distR="0">
                <wp:extent cx="6631388" cy="8404529"/>
                <wp:effectExtent l="0" t="0" r="188595" b="149225"/>
                <wp:docPr id="58" name="Group 57"/>
                <wp:cNvGraphicFramePr/>
                <a:graphic xmlns:a="http://schemas.openxmlformats.org/drawingml/2006/main">
                  <a:graphicData uri="http://schemas.microsoft.com/office/word/2010/wordprocessingGroup">
                    <wpg:wgp>
                      <wpg:cNvGrpSpPr/>
                      <wpg:grpSpPr>
                        <a:xfrm>
                          <a:off x="0" y="0"/>
                          <a:ext cx="7010400" cy="8534400"/>
                          <a:chOff x="-152400" y="228600"/>
                          <a:chExt cx="7010400" cy="8534400"/>
                        </a:xfrm>
                      </wpg:grpSpPr>
                      <wps:wsp>
                        <wps:cNvPr id="3" name="AutoShape 2"/>
                        <wps:cNvSpPr>
                          <a:spLocks noChangeArrowheads="1"/>
                        </wps:cNvSpPr>
                        <wps:spPr bwMode="auto">
                          <a:xfrm>
                            <a:off x="685800" y="762000"/>
                            <a:ext cx="2549525" cy="381000"/>
                          </a:xfrm>
                          <a:prstGeom prst="flowChartProcess">
                            <a:avLst/>
                          </a:prstGeom>
                          <a:solidFill>
                            <a:schemeClr val="accent3">
                              <a:lumMod val="40000"/>
                              <a:lumOff val="60000"/>
                            </a:schemeClr>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Qualified professional* prepares fast track application package</w:t>
                              </w:r>
                            </w:p>
                          </w:txbxContent>
                        </wps:txbx>
                        <wps:bodyPr vert="horz" wrap="square" lIns="91440" tIns="45720" rIns="91440" bIns="45720" numCol="1" anchor="t" anchorCtr="0" compatLnSpc="1">
                          <a:prstTxWarp prst="textNoShape">
                            <a:avLst/>
                          </a:prstTxWarp>
                        </wps:bodyPr>
                      </wps:wsp>
                      <wps:wsp>
                        <wps:cNvPr id="4" name="Straight Arrow Connector 4"/>
                        <wps:cNvCnPr/>
                        <wps:spPr>
                          <a:xfrm flipH="1">
                            <a:off x="1960562" y="1143000"/>
                            <a:ext cx="1"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Flowchart: Decision 5"/>
                        <wps:cNvSpPr/>
                        <wps:spPr>
                          <a:xfrm>
                            <a:off x="588962" y="1371600"/>
                            <a:ext cx="2743200" cy="990600"/>
                          </a:xfrm>
                          <a:prstGeom prst="flowChartDecision">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sz w:val="21"/>
                                  <w:szCs w:val="21"/>
                                </w:rPr>
                                <w:t xml:space="preserve">Determination meeting w/DEMLR: </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sz w:val="21"/>
                                  <w:szCs w:val="21"/>
                                </w:rPr>
                                <w:t>Is project eligible &amp; complete?</w:t>
                              </w:r>
                            </w:p>
                          </w:txbxContent>
                        </wps:txbx>
                        <wps:bodyPr rtlCol="0" anchor="ctr"/>
                      </wps:wsp>
                      <wps:wsp>
                        <wps:cNvPr id="6" name="AutoShape 2"/>
                        <wps:cNvSpPr>
                          <a:spLocks noChangeArrowheads="1"/>
                        </wps:cNvSpPr>
                        <wps:spPr bwMode="auto">
                          <a:xfrm>
                            <a:off x="685800" y="2667000"/>
                            <a:ext cx="2549525" cy="609600"/>
                          </a:xfrm>
                          <a:prstGeom prst="flowChartProcess">
                            <a:avLst/>
                          </a:prstGeom>
                          <a:solidFill>
                            <a:srgbClr val="FFFFCC"/>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Fast track permit issued in a reasonable timeframe.  DEMLR reviews a randomly selected projects for compliance with MDC.</w:t>
                              </w:r>
                            </w:p>
                          </w:txbxContent>
                        </wps:txbx>
                        <wps:bodyPr vert="horz" wrap="square" lIns="91440" tIns="45720" rIns="91440" bIns="45720" numCol="1" anchor="t" anchorCtr="0" compatLnSpc="1">
                          <a:prstTxWarp prst="textNoShape">
                            <a:avLst/>
                          </a:prstTxWarp>
                        </wps:bodyPr>
                      </wps:wsp>
                      <wps:wsp>
                        <wps:cNvPr id="7" name="Straight Arrow Connector 7"/>
                        <wps:cNvCnPr/>
                        <wps:spPr>
                          <a:xfrm>
                            <a:off x="1960562" y="2362200"/>
                            <a:ext cx="1"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AutoShape 2"/>
                        <wps:cNvSpPr>
                          <a:spLocks noChangeArrowheads="1"/>
                        </wps:cNvSpPr>
                        <wps:spPr bwMode="auto">
                          <a:xfrm>
                            <a:off x="3962400" y="1295400"/>
                            <a:ext cx="1981200" cy="381000"/>
                          </a:xfrm>
                          <a:prstGeom prst="flowChartProcess">
                            <a:avLst/>
                          </a:prstGeom>
                          <a:solidFill>
                            <a:schemeClr val="accent3">
                              <a:lumMod val="40000"/>
                              <a:lumOff val="60000"/>
                            </a:schemeClr>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Missing information provided by qualified professional</w:t>
                              </w:r>
                            </w:p>
                          </w:txbxContent>
                        </wps:txbx>
                        <wps:bodyPr vert="horz" wrap="square" lIns="91440" tIns="45720" rIns="91440" bIns="45720" numCol="1" anchor="t" anchorCtr="0" compatLnSpc="1">
                          <a:prstTxWarp prst="textNoShape">
                            <a:avLst/>
                          </a:prstTxWarp>
                        </wps:bodyPr>
                      </wps:wsp>
                      <wps:wsp>
                        <wps:cNvPr id="9" name="AutoShape 2"/>
                        <wps:cNvSpPr>
                          <a:spLocks noChangeArrowheads="1"/>
                        </wps:cNvSpPr>
                        <wps:spPr bwMode="auto">
                          <a:xfrm>
                            <a:off x="4000500" y="2057400"/>
                            <a:ext cx="1905000" cy="381000"/>
                          </a:xfrm>
                          <a:prstGeom prst="flowChartProcess">
                            <a:avLst/>
                          </a:prstGeom>
                          <a:solidFill>
                            <a:schemeClr val="accent3">
                              <a:lumMod val="40000"/>
                              <a:lumOff val="60000"/>
                            </a:schemeClr>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Submittal sent to regular or express review process</w:t>
                              </w:r>
                            </w:p>
                          </w:txbxContent>
                        </wps:txbx>
                        <wps:bodyPr vert="horz" wrap="square" lIns="91440" tIns="45720" rIns="91440" bIns="45720" numCol="1" anchor="t" anchorCtr="0" compatLnSpc="1">
                          <a:prstTxWarp prst="textNoShape">
                            <a:avLst/>
                          </a:prstTxWarp>
                        </wps:bodyPr>
                      </wps:wsp>
                      <wps:wsp>
                        <wps:cNvPr id="10" name="AutoShape 2"/>
                        <wps:cNvSpPr>
                          <a:spLocks noChangeArrowheads="1"/>
                        </wps:cNvSpPr>
                        <wps:spPr bwMode="auto">
                          <a:xfrm>
                            <a:off x="685800" y="3505200"/>
                            <a:ext cx="2549525" cy="381000"/>
                          </a:xfrm>
                          <a:prstGeom prst="flowChartProcess">
                            <a:avLst/>
                          </a:prstGeom>
                          <a:solidFill>
                            <a:srgbClr val="FFFFCC"/>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Project  or project phase constructed &amp; completed.</w:t>
                              </w:r>
                            </w:p>
                          </w:txbxContent>
                        </wps:txbx>
                        <wps:bodyPr vert="horz" wrap="square" lIns="91440" tIns="45720" rIns="91440" bIns="45720" numCol="1" anchor="t" anchorCtr="0" compatLnSpc="1">
                          <a:prstTxWarp prst="textNoShape">
                            <a:avLst/>
                          </a:prstTxWarp>
                        </wps:bodyPr>
                      </wps:wsp>
                      <wps:wsp>
                        <wps:cNvPr id="11" name="Straight Arrow Connector 11"/>
                        <wps:cNvCnPr>
                          <a:stCxn id="5" idx="3"/>
                          <a:endCxn id="9" idx="1"/>
                        </wps:cNvCnPr>
                        <wps:spPr>
                          <a:xfrm>
                            <a:off x="3332162" y="1866900"/>
                            <a:ext cx="668338"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a:stCxn id="5" idx="3"/>
                        </wps:cNvCnPr>
                        <wps:spPr>
                          <a:xfrm flipV="1">
                            <a:off x="3332162" y="1524000"/>
                            <a:ext cx="630238"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AutoShape 2"/>
                        <wps:cNvSpPr>
                          <a:spLocks noChangeArrowheads="1"/>
                        </wps:cNvSpPr>
                        <wps:spPr bwMode="auto">
                          <a:xfrm>
                            <a:off x="685800" y="4038600"/>
                            <a:ext cx="2549525" cy="381000"/>
                          </a:xfrm>
                          <a:prstGeom prst="flowChartProcess">
                            <a:avLst/>
                          </a:prstGeom>
                          <a:solidFill>
                            <a:srgbClr val="FFFFCC"/>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Permittee submits marked-up as-built drawings.</w:t>
                              </w:r>
                            </w:p>
                          </w:txbxContent>
                        </wps:txbx>
                        <wps:bodyPr vert="horz" wrap="square" lIns="91440" tIns="45720" rIns="91440" bIns="45720" numCol="1" anchor="t" anchorCtr="0" compatLnSpc="1">
                          <a:prstTxWarp prst="textNoShape">
                            <a:avLst/>
                          </a:prstTxWarp>
                        </wps:bodyPr>
                      </wps:wsp>
                      <wps:wsp>
                        <wps:cNvPr id="14" name="AutoShape 2"/>
                        <wps:cNvSpPr>
                          <a:spLocks noChangeArrowheads="1"/>
                        </wps:cNvSpPr>
                        <wps:spPr bwMode="auto">
                          <a:xfrm>
                            <a:off x="685800" y="4648200"/>
                            <a:ext cx="2549525" cy="762000"/>
                          </a:xfrm>
                          <a:prstGeom prst="flowChartProcess">
                            <a:avLst/>
                          </a:prstGeom>
                          <a:solidFill>
                            <a:srgbClr val="FFFFCC"/>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As-built drawings are reviewed for compliance.  Randomly selected projects receive a field audit in conjunction with the as-built review.</w:t>
                              </w:r>
                            </w:p>
                          </w:txbxContent>
                        </wps:txbx>
                        <wps:bodyPr vert="horz" wrap="square" lIns="91440" tIns="45720" rIns="91440" bIns="45720" numCol="1" anchor="t" anchorCtr="0" compatLnSpc="1">
                          <a:prstTxWarp prst="textNoShape">
                            <a:avLst/>
                          </a:prstTxWarp>
                        </wps:bodyPr>
                      </wps:wsp>
                      <wps:wsp>
                        <wps:cNvPr id="15" name="Flowchart: Decision 15"/>
                        <wps:cNvSpPr/>
                        <wps:spPr>
                          <a:xfrm>
                            <a:off x="588962" y="5638800"/>
                            <a:ext cx="2743200" cy="1066800"/>
                          </a:xfrm>
                          <a:prstGeom prst="flowChartDecision">
                            <a:avLst/>
                          </a:prstGeom>
                          <a:solidFill>
                            <a:schemeClr val="accent5">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sz w:val="21"/>
                                  <w:szCs w:val="21"/>
                                </w:rPr>
                                <w:t>Do the as-built drawings and field audit (if applicable) comply with the MDC?</w:t>
                              </w:r>
                            </w:p>
                          </w:txbxContent>
                        </wps:txbx>
                        <wps:bodyPr rtlCol="0" anchor="ctr"/>
                      </wps:wsp>
                      <wps:wsp>
                        <wps:cNvPr id="16" name="Flowchart: Decision 16"/>
                        <wps:cNvSpPr/>
                        <wps:spPr>
                          <a:xfrm>
                            <a:off x="3581400" y="6858000"/>
                            <a:ext cx="2743200" cy="990600"/>
                          </a:xfrm>
                          <a:prstGeom prst="flowChartDecision">
                            <a:avLst/>
                          </a:prstGeom>
                          <a:solidFill>
                            <a:srgbClr val="FFCC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sz w:val="21"/>
                                  <w:szCs w:val="21"/>
                                </w:rPr>
                                <w:t>Does the permittee bring the project  up to MDC?</w:t>
                              </w:r>
                            </w:p>
                          </w:txbxContent>
                        </wps:txbx>
                        <wps:bodyPr rtlCol="0" anchor="ctr"/>
                      </wps:wsp>
                      <wps:wsp>
                        <wps:cNvPr id="17" name="AutoShape 2"/>
                        <wps:cNvSpPr>
                          <a:spLocks noChangeArrowheads="1"/>
                        </wps:cNvSpPr>
                        <wps:spPr bwMode="auto">
                          <a:xfrm>
                            <a:off x="685800" y="7086600"/>
                            <a:ext cx="2549525" cy="685800"/>
                          </a:xfrm>
                          <a:prstGeom prst="flowChartProcess">
                            <a:avLst/>
                          </a:prstGeom>
                          <a:solidFill>
                            <a:schemeClr val="accent5">
                              <a:lumMod val="40000"/>
                              <a:lumOff val="60000"/>
                            </a:schemeClr>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DEMLR issues a  letter to close-out the construction phase of the permit.  This allows the permittee to t</w:t>
                              </w:r>
                              <w:r>
                                <w:rPr>
                                  <w:rFonts w:asciiTheme="minorHAnsi" w:hAnsi="Calibri" w:cstheme="minorBidi"/>
                                  <w:color w:val="000000" w:themeColor="text1"/>
                                  <w:kern w:val="24"/>
                                  <w:sz w:val="21"/>
                                  <w:szCs w:val="21"/>
                                </w:rPr>
                                <w:t>ransfer permit to owner.</w:t>
                              </w:r>
                            </w:p>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 xml:space="preserve">                             </w:t>
                              </w:r>
                            </w:p>
                          </w:txbxContent>
                        </wps:txbx>
                        <wps:bodyPr vert="horz" wrap="square" lIns="91440" tIns="45720" rIns="91440" bIns="45720" numCol="1" anchor="t" anchorCtr="0" compatLnSpc="1">
                          <a:prstTxWarp prst="textNoShape">
                            <a:avLst/>
                          </a:prstTxWarp>
                        </wps:bodyPr>
                      </wps:wsp>
                      <wps:wsp>
                        <wps:cNvPr id="18" name="AutoShape 2"/>
                        <wps:cNvSpPr>
                          <a:spLocks noChangeArrowheads="1"/>
                        </wps:cNvSpPr>
                        <wps:spPr bwMode="auto">
                          <a:xfrm>
                            <a:off x="3886200" y="5943600"/>
                            <a:ext cx="2133600" cy="457200"/>
                          </a:xfrm>
                          <a:prstGeom prst="flowChartProcess">
                            <a:avLst/>
                          </a:prstGeom>
                          <a:solidFill>
                            <a:srgbClr val="FFCCFF"/>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DEMLR informs permittee of the deficiencies in writing.</w:t>
                              </w:r>
                            </w:p>
                          </w:txbxContent>
                        </wps:txbx>
                        <wps:bodyPr vert="horz" wrap="square" lIns="91440" tIns="45720" rIns="91440" bIns="45720" numCol="1" anchor="t" anchorCtr="0" compatLnSpc="1">
                          <a:prstTxWarp prst="textNoShape">
                            <a:avLst/>
                          </a:prstTxWarp>
                        </wps:bodyPr>
                      </wps:wsp>
                      <wps:wsp>
                        <wps:cNvPr id="19" name="AutoShape 2"/>
                        <wps:cNvSpPr>
                          <a:spLocks noChangeArrowheads="1"/>
                        </wps:cNvSpPr>
                        <wps:spPr bwMode="auto">
                          <a:xfrm>
                            <a:off x="3678238" y="8153400"/>
                            <a:ext cx="2549525" cy="457200"/>
                          </a:xfrm>
                          <a:prstGeom prst="flowChartProcess">
                            <a:avLst/>
                          </a:prstGeom>
                          <a:solidFill>
                            <a:srgbClr val="FFCCFF"/>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Enforcement  action against qualified professional and permittee.</w:t>
                              </w:r>
                            </w:p>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 xml:space="preserve">                             </w:t>
                              </w:r>
                            </w:p>
                          </w:txbxContent>
                        </wps:txbx>
                        <wps:bodyPr vert="horz" wrap="square" lIns="91440" tIns="45720" rIns="91440" bIns="45720" numCol="1" anchor="t" anchorCtr="0" compatLnSpc="1">
                          <a:prstTxWarp prst="textNoShape">
                            <a:avLst/>
                          </a:prstTxWarp>
                        </wps:bodyPr>
                      </wps:wsp>
                      <wps:wsp>
                        <wps:cNvPr id="20" name="Straight Arrow Connector 20"/>
                        <wps:cNvCnPr/>
                        <wps:spPr>
                          <a:xfrm>
                            <a:off x="1960562" y="327660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a:stCxn id="13" idx="2"/>
                          <a:endCxn id="14" idx="0"/>
                        </wps:cNvCnPr>
                        <wps:spPr>
                          <a:xfrm>
                            <a:off x="1960563" y="441960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stCxn id="14" idx="2"/>
                        </wps:cNvCnPr>
                        <wps:spPr>
                          <a:xfrm>
                            <a:off x="1960563" y="5410200"/>
                            <a:ext cx="4761"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stCxn id="15" idx="2"/>
                          <a:endCxn id="17" idx="0"/>
                        </wps:cNvCnPr>
                        <wps:spPr>
                          <a:xfrm>
                            <a:off x="1960562" y="6705600"/>
                            <a:ext cx="1"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a:off x="1960165" y="7772400"/>
                            <a:ext cx="794"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a:stCxn id="10" idx="2"/>
                          <a:endCxn id="13" idx="0"/>
                        </wps:cNvCnPr>
                        <wps:spPr>
                          <a:xfrm>
                            <a:off x="1960563" y="388620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a:stCxn id="15" idx="3"/>
                          <a:endCxn id="18" idx="1"/>
                        </wps:cNvCnPr>
                        <wps:spPr>
                          <a:xfrm>
                            <a:off x="3332162" y="6172200"/>
                            <a:ext cx="55403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Shape 79"/>
                        <wps:cNvCnPr>
                          <a:stCxn id="16" idx="3"/>
                          <a:endCxn id="10" idx="3"/>
                        </wps:cNvCnPr>
                        <wps:spPr>
                          <a:xfrm flipH="1" flipV="1">
                            <a:off x="3235325" y="3695700"/>
                            <a:ext cx="3089275" cy="3657600"/>
                          </a:xfrm>
                          <a:prstGeom prst="bentConnector3">
                            <a:avLst>
                              <a:gd name="adj1" fmla="val -74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stCxn id="16" idx="2"/>
                          <a:endCxn id="19" idx="0"/>
                        </wps:cNvCnPr>
                        <wps:spPr>
                          <a:xfrm>
                            <a:off x="4953000" y="7848600"/>
                            <a:ext cx="1"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a:stCxn id="18" idx="2"/>
                        </wps:cNvCnPr>
                        <wps:spPr>
                          <a:xfrm>
                            <a:off x="4953000" y="640080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 name="AutoShape 2"/>
                        <wps:cNvSpPr>
                          <a:spLocks noChangeArrowheads="1"/>
                        </wps:cNvSpPr>
                        <wps:spPr bwMode="auto">
                          <a:xfrm>
                            <a:off x="685800" y="8153400"/>
                            <a:ext cx="2549525" cy="457200"/>
                          </a:xfrm>
                          <a:prstGeom prst="flowChartProcess">
                            <a:avLst/>
                          </a:prstGeom>
                          <a:solidFill>
                            <a:schemeClr val="accent5">
                              <a:lumMod val="40000"/>
                              <a:lumOff val="60000"/>
                            </a:schemeClr>
                          </a:solidFill>
                          <a:ln w="9525" algn="ctr">
                            <a:solidFill>
                              <a:srgbClr val="000000"/>
                            </a:solidFill>
                            <a:miter lim="800000"/>
                            <a:headEnd/>
                            <a:tailEnd/>
                          </a:ln>
                          <a:effectLst/>
                        </wps:spPr>
                        <wps:txb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Ongoing maintenance and compliance for SCMs.</w:t>
                              </w:r>
                            </w:p>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 xml:space="preserve">                             </w:t>
                              </w:r>
                            </w:p>
                          </w:txbxContent>
                        </wps:txbx>
                        <wps:bodyPr vert="horz" wrap="square" lIns="91440" tIns="45720" rIns="91440" bIns="45720" numCol="1" anchor="t" anchorCtr="0" compatLnSpc="1">
                          <a:prstTxWarp prst="textNoShape">
                            <a:avLst/>
                          </a:prstTxWarp>
                        </wps:bodyPr>
                      </wps:wsp>
                      <wps:wsp>
                        <wps:cNvPr id="31" name="TextBox 145"/>
                        <wps:cNvSpPr txBox="1"/>
                        <wps:spPr>
                          <a:xfrm rot="-1740000">
                            <a:off x="3139988" y="1475978"/>
                            <a:ext cx="887807" cy="276999"/>
                          </a:xfrm>
                          <a:prstGeom prst="rect">
                            <a:avLst/>
                          </a:prstGeom>
                          <a:noFill/>
                        </wps:spPr>
                        <wps:txbx>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incomplete</w:t>
                              </w:r>
                            </w:p>
                          </w:txbxContent>
                        </wps:txbx>
                        <wps:bodyPr wrap="none" rtlCol="0">
                          <a:spAutoFit/>
                        </wps:bodyPr>
                      </wps:wsp>
                      <wps:wsp>
                        <wps:cNvPr id="32" name="TextBox 146"/>
                        <wps:cNvSpPr txBox="1"/>
                        <wps:spPr>
                          <a:xfrm rot="23400000">
                            <a:off x="3219589" y="1997074"/>
                            <a:ext cx="747320" cy="276999"/>
                          </a:xfrm>
                          <a:prstGeom prst="rect">
                            <a:avLst/>
                          </a:prstGeom>
                          <a:noFill/>
                        </wps:spPr>
                        <wps:txbx>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ineligible</w:t>
                              </w:r>
                            </w:p>
                          </w:txbxContent>
                        </wps:txbx>
                        <wps:bodyPr wrap="none" rtlCol="0">
                          <a:spAutoFit/>
                        </wps:bodyPr>
                      </wps:wsp>
                      <wps:wsp>
                        <wps:cNvPr id="33" name="TextBox 147"/>
                        <wps:cNvSpPr txBox="1"/>
                        <wps:spPr>
                          <a:xfrm>
                            <a:off x="3429000" y="5943600"/>
                            <a:ext cx="365806" cy="276999"/>
                          </a:xfrm>
                          <a:prstGeom prst="rect">
                            <a:avLst/>
                          </a:prstGeom>
                          <a:noFill/>
                        </wps:spPr>
                        <wps:txbx>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No</w:t>
                              </w:r>
                            </w:p>
                          </w:txbxContent>
                        </wps:txbx>
                        <wps:bodyPr wrap="none" rtlCol="0">
                          <a:spAutoFit/>
                        </wps:bodyPr>
                      </wps:wsp>
                      <wps:wsp>
                        <wps:cNvPr id="34" name="TextBox 148"/>
                        <wps:cNvSpPr txBox="1"/>
                        <wps:spPr>
                          <a:xfrm>
                            <a:off x="4876800" y="7848600"/>
                            <a:ext cx="365806" cy="276999"/>
                          </a:xfrm>
                          <a:prstGeom prst="rect">
                            <a:avLst/>
                          </a:prstGeom>
                          <a:noFill/>
                        </wps:spPr>
                        <wps:txbx>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No</w:t>
                              </w:r>
                            </w:p>
                          </w:txbxContent>
                        </wps:txbx>
                        <wps:bodyPr wrap="none" rtlCol="0">
                          <a:spAutoFit/>
                        </wps:bodyPr>
                      </wps:wsp>
                      <wps:wsp>
                        <wps:cNvPr id="35" name="TextBox 150"/>
                        <wps:cNvSpPr txBox="1"/>
                        <wps:spPr>
                          <a:xfrm>
                            <a:off x="1981200" y="6705600"/>
                            <a:ext cx="386837" cy="276999"/>
                          </a:xfrm>
                          <a:prstGeom prst="rect">
                            <a:avLst/>
                          </a:prstGeom>
                          <a:noFill/>
                        </wps:spPr>
                        <wps:txbx>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Yes</w:t>
                              </w:r>
                            </w:p>
                          </w:txbxContent>
                        </wps:txbx>
                        <wps:bodyPr wrap="none" rtlCol="0">
                          <a:spAutoFit/>
                        </wps:bodyPr>
                      </wps:wsp>
                      <wps:wsp>
                        <wps:cNvPr id="36" name="TextBox 155"/>
                        <wps:cNvSpPr txBox="1"/>
                        <wps:spPr>
                          <a:xfrm>
                            <a:off x="6172200" y="7086600"/>
                            <a:ext cx="386837" cy="276999"/>
                          </a:xfrm>
                          <a:prstGeom prst="rect">
                            <a:avLst/>
                          </a:prstGeom>
                          <a:noFill/>
                        </wps:spPr>
                        <wps:txbx>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Yes</w:t>
                              </w:r>
                            </w:p>
                          </w:txbxContent>
                        </wps:txbx>
                        <wps:bodyPr wrap="none" rtlCol="0">
                          <a:spAutoFit/>
                        </wps:bodyPr>
                      </wps:wsp>
                      <wps:wsp>
                        <wps:cNvPr id="37" name="TextBox 157"/>
                        <wps:cNvSpPr txBox="1"/>
                        <wps:spPr>
                          <a:xfrm>
                            <a:off x="0" y="228600"/>
                            <a:ext cx="6858000" cy="307777"/>
                          </a:xfrm>
                          <a:prstGeom prst="rect">
                            <a:avLst/>
                          </a:prstGeom>
                          <a:noFill/>
                        </wps:spPr>
                        <wps:txbx>
                          <w:txbxContent>
                            <w:p w:rsidR="00C06498" w:rsidRDefault="00C06498" w:rsidP="00C06498">
                              <w:pPr>
                                <w:pStyle w:val="NormalWeb"/>
                                <w:spacing w:before="0" w:beforeAutospacing="0" w:after="0" w:afterAutospacing="0"/>
                                <w:jc w:val="center"/>
                              </w:pPr>
                              <w:r>
                                <w:rPr>
                                  <w:rFonts w:asciiTheme="minorHAnsi" w:hAnsi="Calibri" w:cstheme="minorBidi"/>
                                  <w:b/>
                                  <w:bCs/>
                                  <w:color w:val="000000" w:themeColor="text1"/>
                                  <w:kern w:val="24"/>
                                  <w:sz w:val="28"/>
                                  <w:szCs w:val="28"/>
                                </w:rPr>
                                <w:t>Potential Fast-track Process for MDC Team Discussion</w:t>
                              </w:r>
                            </w:p>
                          </w:txbxContent>
                        </wps:txbx>
                        <wps:bodyPr wrap="square" rtlCol="0">
                          <a:spAutoFit/>
                        </wps:bodyPr>
                      </wps:wsp>
                      <wps:wsp>
                        <wps:cNvPr id="38" name="Shape 46"/>
                        <wps:cNvCnPr>
                          <a:stCxn id="8" idx="0"/>
                          <a:endCxn id="3" idx="3"/>
                        </wps:cNvCnPr>
                        <wps:spPr>
                          <a:xfrm rot="16200000" flipV="1">
                            <a:off x="3922713" y="265112"/>
                            <a:ext cx="342900" cy="171767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TextBox 48"/>
                        <wps:cNvSpPr txBox="1"/>
                        <wps:spPr>
                          <a:xfrm>
                            <a:off x="1981200" y="2362200"/>
                            <a:ext cx="386837" cy="276999"/>
                          </a:xfrm>
                          <a:prstGeom prst="rect">
                            <a:avLst/>
                          </a:prstGeom>
                          <a:noFill/>
                        </wps:spPr>
                        <wps:txbx>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Yes</w:t>
                              </w:r>
                            </w:p>
                          </w:txbxContent>
                        </wps:txbx>
                        <wps:bodyPr wrap="none" rtlCol="0">
                          <a:spAutoFit/>
                        </wps:bodyPr>
                      </wps:wsp>
                      <wps:wsp>
                        <wps:cNvPr id="40" name="Left Brace 40"/>
                        <wps:cNvSpPr/>
                        <wps:spPr>
                          <a:xfrm>
                            <a:off x="361950" y="609600"/>
                            <a:ext cx="304800" cy="1828800"/>
                          </a:xfrm>
                          <a:prstGeom prst="leftBrace">
                            <a:avLst/>
                          </a:prstGeom>
                        </wps:spPr>
                        <wps:style>
                          <a:lnRef idx="1">
                            <a:schemeClr val="accent1"/>
                          </a:lnRef>
                          <a:fillRef idx="0">
                            <a:schemeClr val="accent1"/>
                          </a:fillRef>
                          <a:effectRef idx="0">
                            <a:schemeClr val="accent1"/>
                          </a:effectRef>
                          <a:fontRef idx="minor">
                            <a:schemeClr val="tx1"/>
                          </a:fontRef>
                        </wps:style>
                        <wps:txbx>
                          <w:txbxContent>
                            <w:p w:rsidR="00C06498" w:rsidRDefault="00C06498" w:rsidP="00C06498">
                              <w:pPr>
                                <w:rPr>
                                  <w:rFonts w:eastAsia="Times New Roman"/>
                                </w:rPr>
                              </w:pPr>
                            </w:p>
                          </w:txbxContent>
                        </wps:txbx>
                        <wps:bodyPr rtlCol="0" anchor="ctr"/>
                      </wps:wsp>
                      <wps:wsp>
                        <wps:cNvPr id="41" name="Left Brace 41"/>
                        <wps:cNvSpPr/>
                        <wps:spPr>
                          <a:xfrm>
                            <a:off x="361950" y="2590800"/>
                            <a:ext cx="304800" cy="2971800"/>
                          </a:xfrm>
                          <a:prstGeom prst="leftBrace">
                            <a:avLst/>
                          </a:prstGeom>
                        </wps:spPr>
                        <wps:style>
                          <a:lnRef idx="1">
                            <a:schemeClr val="accent1"/>
                          </a:lnRef>
                          <a:fillRef idx="0">
                            <a:schemeClr val="accent1"/>
                          </a:fillRef>
                          <a:effectRef idx="0">
                            <a:schemeClr val="accent1"/>
                          </a:effectRef>
                          <a:fontRef idx="minor">
                            <a:schemeClr val="tx1"/>
                          </a:fontRef>
                        </wps:style>
                        <wps:txbx>
                          <w:txbxContent>
                            <w:p w:rsidR="00C06498" w:rsidRDefault="00C06498" w:rsidP="00C06498">
                              <w:pPr>
                                <w:rPr>
                                  <w:rFonts w:eastAsia="Times New Roman"/>
                                </w:rPr>
                              </w:pPr>
                            </w:p>
                          </w:txbxContent>
                        </wps:txbx>
                        <wps:bodyPr rtlCol="0" anchor="ctr"/>
                      </wps:wsp>
                      <wps:wsp>
                        <wps:cNvPr id="42" name="Left Brace 42"/>
                        <wps:cNvSpPr/>
                        <wps:spPr>
                          <a:xfrm>
                            <a:off x="361950" y="5638800"/>
                            <a:ext cx="304800" cy="3124200"/>
                          </a:xfrm>
                          <a:prstGeom prst="leftBrace">
                            <a:avLst/>
                          </a:prstGeom>
                        </wps:spPr>
                        <wps:style>
                          <a:lnRef idx="1">
                            <a:schemeClr val="accent1"/>
                          </a:lnRef>
                          <a:fillRef idx="0">
                            <a:schemeClr val="accent1"/>
                          </a:fillRef>
                          <a:effectRef idx="0">
                            <a:schemeClr val="accent1"/>
                          </a:effectRef>
                          <a:fontRef idx="minor">
                            <a:schemeClr val="tx1"/>
                          </a:fontRef>
                        </wps:style>
                        <wps:txbx>
                          <w:txbxContent>
                            <w:p w:rsidR="00C06498" w:rsidRDefault="00C06498" w:rsidP="00C06498">
                              <w:pPr>
                                <w:rPr>
                                  <w:rFonts w:eastAsia="Times New Roman"/>
                                </w:rPr>
                              </w:pPr>
                            </w:p>
                          </w:txbxContent>
                        </wps:txbx>
                        <wps:bodyPr rtlCol="0" anchor="ctr"/>
                      </wps:wsp>
                      <wps:wsp>
                        <wps:cNvPr id="43" name="TextBox 55"/>
                        <wps:cNvSpPr txBox="1"/>
                        <wps:spPr>
                          <a:xfrm>
                            <a:off x="0" y="1295400"/>
                            <a:ext cx="498855" cy="461665"/>
                          </a:xfrm>
                          <a:prstGeom prst="rect">
                            <a:avLst/>
                          </a:prstGeom>
                          <a:noFill/>
                        </wps:spPr>
                        <wps:txbx>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Feb</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2015</w:t>
                              </w:r>
                            </w:p>
                          </w:txbxContent>
                        </wps:txbx>
                        <wps:bodyPr wrap="none" rtlCol="0">
                          <a:spAutoFit/>
                        </wps:bodyPr>
                      </wps:wsp>
                      <wps:wsp>
                        <wps:cNvPr id="44" name="TextBox 43"/>
                        <wps:cNvSpPr txBox="1"/>
                        <wps:spPr>
                          <a:xfrm>
                            <a:off x="0" y="3886200"/>
                            <a:ext cx="498855" cy="461665"/>
                          </a:xfrm>
                          <a:prstGeom prst="rect">
                            <a:avLst/>
                          </a:prstGeom>
                          <a:noFill/>
                        </wps:spPr>
                        <wps:txbx>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Mar</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2015</w:t>
                              </w:r>
                            </w:p>
                          </w:txbxContent>
                        </wps:txbx>
                        <wps:bodyPr wrap="none" rtlCol="0">
                          <a:spAutoFit/>
                        </wps:bodyPr>
                      </wps:wsp>
                      <wps:wsp>
                        <wps:cNvPr id="45" name="TextBox 44"/>
                        <wps:cNvSpPr txBox="1"/>
                        <wps:spPr>
                          <a:xfrm>
                            <a:off x="-152400" y="6477000"/>
                            <a:ext cx="787831" cy="1384995"/>
                          </a:xfrm>
                          <a:prstGeom prst="rect">
                            <a:avLst/>
                          </a:prstGeom>
                          <a:noFill/>
                        </wps:spPr>
                        <wps:txbx>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Apr</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2015</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(blue)</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&amp;</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May</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2015</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(pink)</w:t>
                              </w:r>
                            </w:p>
                          </w:txbxContent>
                        </wps:txbx>
                        <wps:bodyPr wrap="square" rtlCol="0">
                          <a:spAutoFit/>
                        </wps:bodyPr>
                      </wps:wsp>
                      <wps:wsp>
                        <wps:cNvPr id="46" name="TextBox 56"/>
                        <wps:cNvSpPr txBox="1"/>
                        <wps:spPr>
                          <a:xfrm>
                            <a:off x="3352800" y="609600"/>
                            <a:ext cx="3286477" cy="261610"/>
                          </a:xfrm>
                          <a:prstGeom prst="rect">
                            <a:avLst/>
                          </a:prstGeom>
                          <a:noFill/>
                        </wps:spPr>
                        <wps:txbx>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u w:val="single"/>
                                </w:rPr>
                                <w:t>Note</w:t>
                              </w:r>
                              <w:r>
                                <w:rPr>
                                  <w:rFonts w:asciiTheme="minorHAnsi" w:hAnsi="Calibri" w:cstheme="minorBidi"/>
                                  <w:color w:val="000000" w:themeColor="text1"/>
                                  <w:kern w:val="24"/>
                                  <w:sz w:val="22"/>
                                  <w:szCs w:val="22"/>
                                </w:rPr>
                                <w:t>:  We’ll define “qualified professional” in March.</w:t>
                              </w:r>
                            </w:p>
                          </w:txbxContent>
                        </wps:txbx>
                        <wps:bodyPr wrap="none" rtlCol="0">
                          <a:spAutoFit/>
                        </wps:bodyPr>
                      </wps:wsp>
                    </wpg:wgp>
                  </a:graphicData>
                </a:graphic>
              </wp:inline>
            </w:drawing>
          </mc:Choice>
          <mc:Fallback>
            <w:pict>
              <v:group id="Group 57" o:spid="_x0000_s1026" style="width:522.15pt;height:661.75pt;mso-position-horizontal-relative:char;mso-position-vertical-relative:line" coordorigin="-1524,2286" coordsize="70104,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">
                <v:shapetype id="_x0000_t109" coordsize="21600,21600" o:spt="109" path="m,l,21600r21600,l21600,xe">
                  <v:stroke joinstyle="miter"/>
                  <v:path gradientshapeok="t" o:connecttype="rect"/>
                </v:shapetype>
                <v:shape id="AutoShape 2" o:spid="_x0000_s1027" type="#_x0000_t109" style="position:absolute;left:6858;top:7620;width:2549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o28MA&#10;AADaAAAADwAAAGRycy9kb3ducmV2LnhtbESPT4vCMBTE78J+h/CEvciauoJI17TIuoIHEfxz8fZo&#10;nk21eSlNVuu3N4LgcZiZ3zCzvLO1uFLrK8cKRsMEBHHhdMWlgsN++TUF4QOyxtoxKbiThzz76M0w&#10;1e7GW7ruQikihH2KCkwITSqlLwxZ9EPXEEfv5FqLIcq2lLrFW4TbWn4nyURarDguGGzo11Bx2f1b&#10;BcXSmeOhW68GZ3PRg8Xmr9y6RKnPfjf/ARGoC+/wq73SCsbwvBJv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co28MAAADaAAAADwAAAAAAAAAAAAAAAACYAgAAZHJzL2Rv&#10;d25yZXYueG1sUEsFBgAAAAAEAAQA9QAAAIgDAAAAAA==&#10;" fillcolor="#d6e3bc [1302]">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Qualified professional* prepares fast track application package</w:t>
                        </w:r>
                      </w:p>
                    </w:txbxContent>
                  </v:textbox>
                </v:shape>
                <v:shapetype id="_x0000_t32" coordsize="21600,21600" o:spt="32" o:oned="t" path="m,l21600,21600e" filled="f">
                  <v:path arrowok="t" fillok="f" o:connecttype="none"/>
                  <o:lock v:ext="edit" shapetype="t"/>
                </v:shapetype>
                <v:shape id="Straight Arrow Connector 4" o:spid="_x0000_s1028" type="#_x0000_t32" style="position:absolute;left:19605;top:11430;width:0;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CC08MAAADaAAAADwAAAGRycy9kb3ducmV2LnhtbESPX2vCMBTF3wd+h3AF32bq6IZUo4gy&#10;cAgbVUF8uzbXttjclCSz3bdfBgMfD+fPjzNf9qYRd3K+tqxgMk5AEBdW11wqOB7en6cgfEDW2Fgm&#10;BT/kYbkYPM0x07bjnO77UIo4wj5DBVUIbSalLyoy6Me2JY7e1TqDIUpXSu2wi+OmkS9J8iYN1hwJ&#10;Fba0rqi47b9NhGzS/HV32l1Syldf3eXj/BncWanRsF/NQATqwyP8395qBSn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QgtPDAAAA2gAAAA8AAAAAAAAAAAAA&#10;AAAAoQIAAGRycy9kb3ducmV2LnhtbFBLBQYAAAAABAAEAPkAAACRAwAAAAA=&#10;" strokecolor="#4579b8 [3044]">
                  <v:stroke endarrow="open"/>
                </v:shape>
                <v:shapetype id="_x0000_t110" coordsize="21600,21600" o:spt="110" path="m10800,l,10800,10800,21600,21600,10800xe">
                  <v:stroke joinstyle="miter"/>
                  <v:path gradientshapeok="t" o:connecttype="rect" textboxrect="5400,5400,16200,16200"/>
                </v:shapetype>
                <v:shape id="Flowchart: Decision 5" o:spid="_x0000_s1029" type="#_x0000_t110" style="position:absolute;left:5889;top:13716;width:27432;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27tsQA&#10;AADaAAAADwAAAGRycy9kb3ducmV2LnhtbESPQWvCQBSE7wX/w/KE3upGxdTGbEQUS/HWtEK9PXaf&#10;STD7NmS3mv77rlDocZiZb5h8PdhWXKn3jWMF00kCglg703Cl4PNj/7QE4QOywdYxKfghD+ti9JBj&#10;ZtyN3+lahkpECPsMFdQhdJmUXtdk0U9cRxy9s+sthij7SpoebxFuWzlLklRabDgu1NjRtiZ9Kb+t&#10;gs18t+CXUxO0nr6enw/HdP61T5V6HA+bFYhAQ/gP/7XfjIIF3K/EG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Nu7bEAAAA2gAAAA8AAAAAAAAAAAAAAAAAmAIAAGRycy9k&#10;b3ducmV2LnhtbFBLBQYAAAAABAAEAPUAAACJAwAAAAA=&#10;" fillcolor="#d6e3bc [1302]" strokecolor="black [3213]" strokeweight="1pt">
                  <v:textbox>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sz w:val="21"/>
                            <w:szCs w:val="21"/>
                          </w:rPr>
                          <w:t xml:space="preserve">Determination meeting w/DEMLR: </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sz w:val="21"/>
                            <w:szCs w:val="21"/>
                          </w:rPr>
                          <w:t>Is project eligible &amp; complete?</w:t>
                        </w:r>
                      </w:p>
                    </w:txbxContent>
                  </v:textbox>
                </v:shape>
                <v:shape id="AutoShape 2" o:spid="_x0000_s1030" type="#_x0000_t109" style="position:absolute;left:6858;top:26670;width:25495;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U0MMA&#10;AADaAAAADwAAAGRycy9kb3ducmV2LnhtbESPzWrDMBCE74W8g9hAb42cHpLiRgkhkB9oD/l7gMXa&#10;Wm6tlZBU2+3TV4FAj8PMfMMsVoNtRUchNo4VTCcFCOLK6YZrBdfL9ukFREzIGlvHpOCHIqyWo4cF&#10;ltr1fKLunGqRIRxLVGBS8qWUsTJkMU6cJ87ehwsWU5ahljpgn+G2lc9FMZMWG84LBj1tDFVf52+r&#10;4N34fdBvvvu0p+muX3fz4/Y3KPU4HtavIBIN6T98bx+0ghncru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TU0MMAAADaAAAADwAAAAAAAAAAAAAAAACYAgAAZHJzL2Rv&#10;d25yZXYueG1sUEsFBgAAAAAEAAQA9QAAAIgDAAAAAA==&#10;" fillcolor="#ffc">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Fast track permit issued in a reasonable timeframe.  DEMLR reviews a randomly selected projects for compliance with MDC.</w:t>
                        </w:r>
                      </w:p>
                    </w:txbxContent>
                  </v:textbox>
                </v:shape>
                <v:shape id="Straight Arrow Connector 7" o:spid="_x0000_s1031" type="#_x0000_t32" style="position:absolute;left:19605;top:23622;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qSMMAAADaAAAADwAAAGRycy9kb3ducmV2LnhtbESPT2uDQBTE74F+h+UVekvWNpiKcRUJ&#10;SHpt/kB7e3VfVOK+FXdN7LfvFgo9DjPzGyYrZtOLG42us6zgeRWBIK6t7rhRcDpWywSE88gae8uk&#10;4JscFPnDIsNU2zu/0+3gGxEg7FJU0Ho/pFK6uiWDbmUH4uBd7GjQBzk2Uo94D3DTy5co2kiDHYeF&#10;FgfatVRfD5NRsL58zfvElzKpPuxumuI4PlefSj09zuUWhKfZ/4f/2m9awSv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9qkjDAAAA2gAAAA8AAAAAAAAAAAAA&#10;AAAAoQIAAGRycy9kb3ducmV2LnhtbFBLBQYAAAAABAAEAPkAAACRAwAAAAA=&#10;" strokecolor="#4579b8 [3044]">
                  <v:stroke endarrow="open"/>
                </v:shape>
                <v:shape id="AutoShape 2" o:spid="_x0000_s1032" type="#_x0000_t109" style="position:absolute;left:39624;top:12954;width:1981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6qr0A&#10;AADaAAAADwAAAGRycy9kb3ducmV2LnhtbERPuwrCMBTdBf8hXMFFNNVBpBpFfICDCD4Wt0tzbarN&#10;TWmi1r83g+B4OO/ZorGleFHtC8cKhoMEBHHmdMG5gst525+A8AFZY+mYFHzIw2Lebs0w1e7NR3qd&#10;Qi5iCPsUFZgQqlRKnxmy6AeuIo7czdUWQ4R1LnWN7xhuSzlKkrG0WHBsMFjRylD2OD2tgmzrzPXS&#10;7He9u3no3vqwyY8uUarbaZZTEIGa8Bf/3DutIG6NV+INkP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MO6qr0AAADaAAAADwAAAAAAAAAAAAAAAACYAgAAZHJzL2Rvd25yZXYu&#10;eG1sUEsFBgAAAAAEAAQA9QAAAIIDAAAAAA==&#10;" fillcolor="#d6e3bc [1302]">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Missing information provided by qualified professional</w:t>
                        </w:r>
                      </w:p>
                    </w:txbxContent>
                  </v:textbox>
                </v:shape>
                <v:shape id="AutoShape 2" o:spid="_x0000_s1033" type="#_x0000_t109" style="position:absolute;left:40005;top:20574;width:1905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8fMcMA&#10;AADaAAAADwAAAGRycy9kb3ducmV2LnhtbESPT4vCMBTE78J+h/CEvciaugfRrmmRdQUPIvjn4u3R&#10;PJtq81KarNZvbwTB4zAzv2FmeWdrcaXWV44VjIYJCOLC6YpLBYf98msCwgdkjbVjUnAnD3n20Zth&#10;qt2Nt3TdhVJECPsUFZgQmlRKXxiy6IeuIY7eybUWQ5RtKXWLtwi3tfxOkrG0WHFcMNjQr6Hisvu3&#10;CoqlM8dDt14NzuaiB4vNX7l1iVKf/W7+AyJQF97hV3ulFUzheSXeAJ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8fMcMAAADaAAAADwAAAAAAAAAAAAAAAACYAgAAZHJzL2Rv&#10;d25yZXYueG1sUEsFBgAAAAAEAAQA9QAAAIgDAAAAAA==&#10;" fillcolor="#d6e3bc [1302]">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Submittal sent to regular or express review process</w:t>
                        </w:r>
                      </w:p>
                    </w:txbxContent>
                  </v:textbox>
                </v:shape>
                <v:shape id="AutoShape 2" o:spid="_x0000_s1034" type="#_x0000_t109" style="position:absolute;left:6858;top:35052;width:2549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Y9cQA&#10;AADbAAAADwAAAGRycy9kb3ducmV2LnhtbESPzU4DMQyE70h9h8hI3Gi2HAAtTasKqT8SHGjhAayN&#10;2Wy7caIk7C48PT4gcbM145nPy/XkezVQyl1gA4t5BYq4Cbbj1sDH+/b2EVQuyBb7wGTgmzKsV7Or&#10;JdY2jHyk4VRaJSGcazTgSom11rlx5DHPQyQW7TMkj0XW1GqbcJRw3+u7qrrXHjuWBoeRnh01l9OX&#10;N/Dq4j7Zlzic/XGxGzfDw9v2Jxlzcz1tnkAVmsq/+e/6YA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mPXEAAAA2wAAAA8AAAAAAAAAAAAAAAAAmAIAAGRycy9k&#10;b3ducmV2LnhtbFBLBQYAAAAABAAEAPUAAACJAwAAAAA=&#10;" fillcolor="#ffc">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Project  or project phase constructed &amp; completed.</w:t>
                        </w:r>
                      </w:p>
                    </w:txbxContent>
                  </v:textbox>
                </v:shape>
                <v:shape id="Straight Arrow Connector 11" o:spid="_x0000_s1035" type="#_x0000_t32" style="position:absolute;left:33321;top:18669;width:6684;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nTcAAAADbAAAADwAAAGRycy9kb3ducmV2LnhtbERPS4vCMBC+C/sfwizszaauVEo1ighl&#10;vfoC9zbbjG2xmZQm1e6/N4LgbT6+5yxWg2nEjTpXW1YwiWIQxIXVNZcKjod8nIJwHlljY5kU/JOD&#10;1fJjtMBM2zvv6Lb3pQgh7DJUUHnfZlK6oiKDLrItceAutjPoA+xKqTu8h3DTyO84nkmDNYeGClva&#10;VFRc971RML38DT+pX8s0P9tN3ydJcsp/lfr6HNZzEJ4G/xa/3Fsd5k/g+Us4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U503AAAAA2wAAAA8AAAAAAAAAAAAAAAAA&#10;oQIAAGRycy9kb3ducmV2LnhtbFBLBQYAAAAABAAEAPkAAACOAwAAAAA=&#10;" strokecolor="#4579b8 [3044]">
                  <v:stroke endarrow="open"/>
                </v:shape>
                <v:shape id="Straight Arrow Connector 12" o:spid="_x0000_s1036" type="#_x0000_t32" style="position:absolute;left:33321;top:15240;width:6303;height:3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ONMUAAADbAAAADwAAAGRycy9kb3ducmV2LnhtbESPQWvCQBCF7wX/wzKF3uqmYovEbEQs&#10;hRZBiS2ItzE7JsHsbNjdmvTfu0LB2wzvzfveZIvBtOJCzjeWFbyMExDEpdUNVwp+vj+eZyB8QNbY&#10;WiYFf+RhkY8eMky17bmgyy5UIoawT1FBHUKXSunLmgz6se2Io3ayzmCIq6ukdtjHcNPKSZK8SYMN&#10;R0KNHa1qKs+7XxMh79Pidb1fH6dULLf98euwCe6g1NPjsJyDCDSEu/n/+lPH+hO4/RIH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hONMUAAADbAAAADwAAAAAAAAAA&#10;AAAAAAChAgAAZHJzL2Rvd25yZXYueG1sUEsFBgAAAAAEAAQA+QAAAJMDAAAAAA==&#10;" strokecolor="#4579b8 [3044]">
                  <v:stroke endarrow="open"/>
                </v:shape>
                <v:shape id="AutoShape 2" o:spid="_x0000_s1037" type="#_x0000_t109" style="position:absolute;left:6858;top:40386;width:2549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GgsIA&#10;AADbAAAADwAAAGRycy9kb3ducmV2LnhtbERPzWoCMRC+F/oOYQq91awKtqxGEcFa0EO1fYBhM25W&#10;N5OQpLvbPr0pFHqbj+93FqvBtqKjEBvHCsajAgRx5XTDtYLPj+3TC4iYkDW2jknBN0VYLe/vFlhq&#10;1/ORulOqRQ7hWKICk5IvpYyVIYtx5Dxx5s4uWEwZhlrqgH0Ot62cFMVMWmw4Nxj0tDFUXU9fVsHB&#10;+F3Qe99d7HH82q+75/ftT1Dq8WFYz0EkGtK/+M/9pvP8Kfz+k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NgaCwgAAANsAAAAPAAAAAAAAAAAAAAAAAJgCAABkcnMvZG93&#10;bnJldi54bWxQSwUGAAAAAAQABAD1AAAAhwMAAAAA&#10;" fillcolor="#ffc">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Permittee submits marked-up as-built drawings.</w:t>
                        </w:r>
                      </w:p>
                    </w:txbxContent>
                  </v:textbox>
                </v:shape>
                <v:shape id="AutoShape 2" o:spid="_x0000_s1038" type="#_x0000_t109" style="position:absolute;left:6858;top:46482;width:25495;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e9sIA&#10;AADbAAAADwAAAGRycy9kb3ducmV2LnhtbERPzWoCMRC+F/oOYQq91awitqxGEcFa0EO1fYBhM25W&#10;N5OQpLvbPr0pFHqbj+93FqvBtqKjEBvHCsajAgRx5XTDtYLPj+3TC4iYkDW2jknBN0VYLe/vFlhq&#10;1/ORulOqRQ7hWKICk5IvpYyVIYtx5Dxx5s4uWEwZhlrqgH0Ot62cFMVMWmw4Nxj0tDFUXU9fVsHB&#10;+F3Qe99d7HH82q+75/ftT1Dq8WFYz0EkGtK/+M/9pvP8Kfz+k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3572wgAAANsAAAAPAAAAAAAAAAAAAAAAAJgCAABkcnMvZG93&#10;bnJldi54bWxQSwUGAAAAAAQABAD1AAAAhwMAAAAA&#10;" fillcolor="#ffc">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As-built drawings are reviewed for compliance.  Randomly selected projects receive a field audit in conjunction with the as-built review.</w:t>
                        </w:r>
                      </w:p>
                    </w:txbxContent>
                  </v:textbox>
                </v:shape>
                <v:shape id="Flowchart: Decision 15" o:spid="_x0000_s1039" type="#_x0000_t110" style="position:absolute;left:5889;top:56388;width:27432;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h6cEA&#10;AADbAAAADwAAAGRycy9kb3ducmV2LnhtbERPS2vCQBC+F/wPywi91U0LFUldRQJiT6UmXrwN2Wk2&#10;TXY2ZDeP/vuuIHibj+852/1sWzFS72vHCl5XCQji0umaKwWX4viyAeEDssbWMSn4Iw/73eJpi6l2&#10;E59pzEMlYgj7FBWYELpUSl8asuhXriOO3I/rLYYI+0rqHqcYblv5liRrabHm2GCwo8xQ2eSDVVBn&#10;RXa6DtnQNs00H/z3kJe/X0o9L+fDB4hAc3iI7+5PHee/w+2XeI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4enBAAAA2wAAAA8AAAAAAAAAAAAAAAAAmAIAAGRycy9kb3du&#10;cmV2LnhtbFBLBQYAAAAABAAEAPUAAACGAwAAAAA=&#10;" fillcolor="#b6dde8 [1304]" strokecolor="black [3213]" strokeweight="1pt">
                  <v:textbox>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sz w:val="21"/>
                            <w:szCs w:val="21"/>
                          </w:rPr>
                          <w:t>Do the as-built drawings and field audit (if applicable) comply with the MDC?</w:t>
                        </w:r>
                      </w:p>
                    </w:txbxContent>
                  </v:textbox>
                </v:shape>
                <v:shape id="Flowchart: Decision 16" o:spid="_x0000_s1040" type="#_x0000_t110" style="position:absolute;left:35814;top:68580;width:27432;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f8cYA&#10;AADbAAAADwAAAGRycy9kb3ducmV2LnhtbESPW2vCQBCF3wv+h2WEvjUbS4kaXaWU3nwQvIKPQ3ZM&#10;otnZkN3GtL++Kwi+zXDOnO/MdN6ZSrTUuNKygkEUgyDOrC45V7DbfjyNQDiPrLGyTAp+ycF81nuY&#10;YqrthdfUbnwuQgi7FBUU3teplC4ryKCLbE0ctKNtDPqwNrnUDV5CuKnkcxwn0mDJgVBgTW8FZefN&#10;jwmQl4Uctp/J1+HPvudyder24+Vaqcd+9zoB4anzd/Pt+luH+glcfwkD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mf8cYAAADbAAAADwAAAAAAAAAAAAAAAACYAgAAZHJz&#10;L2Rvd25yZXYueG1sUEsFBgAAAAAEAAQA9QAAAIsDAAAAAA==&#10;" fillcolor="#fcf" strokecolor="black [3213]" strokeweight="1pt">
                  <v:textbox>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sz w:val="21"/>
                            <w:szCs w:val="21"/>
                          </w:rPr>
                          <w:t>Does the permittee bring the project  up to MDC?</w:t>
                        </w:r>
                      </w:p>
                    </w:txbxContent>
                  </v:textbox>
                </v:shape>
                <v:shape id="AutoShape 2" o:spid="_x0000_s1041" type="#_x0000_t109" style="position:absolute;left:6858;top:70866;width:2549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y8cIA&#10;AADbAAAADwAAAGRycy9kb3ducmV2LnhtbERPTWvCQBC9F/wPywi9SN20ByvRVaqoeFISi+cxO02C&#10;2dl0d9X4712h0Ns83udM551pxJWcry0reB8mIIgLq2suFXwf1m9jED4ga2wsk4I7eZjPei9TTLW9&#10;cUbXPJQihrBPUUEVQptK6YuKDPqhbYkj92OdwRChK6V2eIvhppEfSTKSBmuODRW2tKyoOOcXo2Cw&#10;+j0MNmfZZKPT3rrxMfO700Kp1373NQERqAv/4j/3Vsf5n/D8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bLxwgAAANsAAAAPAAAAAAAAAAAAAAAAAJgCAABkcnMvZG93&#10;bnJldi54bWxQSwUGAAAAAAQABAD1AAAAhwMAAAAA&#10;" fillcolor="#b6dde8 [1304]">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DEMLR issues a  letter to close-out the construction phase of the permit.  This allows the permittee to t</w:t>
                        </w:r>
                        <w:r>
                          <w:rPr>
                            <w:rFonts w:asciiTheme="minorHAnsi" w:hAnsi="Calibri" w:cstheme="minorBidi"/>
                            <w:color w:val="000000" w:themeColor="text1"/>
                            <w:kern w:val="24"/>
                            <w:sz w:val="21"/>
                            <w:szCs w:val="21"/>
                          </w:rPr>
                          <w:t>ransfer permit to owner.</w:t>
                        </w:r>
                      </w:p>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 xml:space="preserve">                             </w:t>
                        </w:r>
                      </w:p>
                    </w:txbxContent>
                  </v:textbox>
                </v:shape>
                <v:shape id="AutoShape 2" o:spid="_x0000_s1042" type="#_x0000_t109" style="position:absolute;left:38862;top:59436;width:2133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wIsQA&#10;AADbAAAADwAAAGRycy9kb3ducmV2LnhtbESPQWvCQBCF74L/YRnBW920hdJGVxGxVDwUtZZex+yY&#10;hGZnw+4a03/fOQje3jBvvnlvtuhdozoKsfZs4HGSgSIuvK25NHD8en94BRUTssXGMxn4owiL+XAw&#10;w9z6K++pO6RSCYRjjgaqlNpc61hU5DBOfEssu7MPDpOModQ24FXgrtFPWfaiHdYsHypsaVVR8Xu4&#10;OKE8nz46OsddHbrt24/7PBbfy7Ux41G/nIJK1Ke7+Xa9sRJfwkoXEa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m8CLEAAAA2wAAAA8AAAAAAAAAAAAAAAAAmAIAAGRycy9k&#10;b3ducmV2LnhtbFBLBQYAAAAABAAEAPUAAACJAwAAAAA=&#10;" fillcolor="#fcf">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DEMLR informs permittee of the deficiencies in writing.</w:t>
                        </w:r>
                      </w:p>
                    </w:txbxContent>
                  </v:textbox>
                </v:shape>
                <v:shape id="AutoShape 2" o:spid="_x0000_s1043" type="#_x0000_t109" style="position:absolute;left:36782;top:81534;width:2549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VucQA&#10;AADbAAAADwAAAGRycy9kb3ducmV2LnhtbESPT2sCMRDF7wW/QxjBW82qIHVrFBFF8SD1T+l1uhl3&#10;FzeTJYnr+u1NoeBthvfeb95M562pREPOl5YVDPoJCOLM6pJzBefT+v0DhA/IGivLpOBBHuazztsU&#10;U23vfKDmGHIRIexTVFCEUKdS+qwgg75va+KoXawzGOLqcqkd3iPcVHKYJGNpsOR4ocCalgVl1+PN&#10;RMrod9PQxX+VrtlNfsz+nH0vVkr1uu3iE0SgNrzM/+mtjvUn8PdLHE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qVbnEAAAA2wAAAA8AAAAAAAAAAAAAAAAAmAIAAGRycy9k&#10;b3ducmV2LnhtbFBLBQYAAAAABAAEAPUAAACJAwAAAAA=&#10;" fillcolor="#fcf">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Enforcement  action against qualified professional and permittee.</w:t>
                        </w:r>
                      </w:p>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 xml:space="preserve">                             </w:t>
                        </w:r>
                      </w:p>
                    </w:txbxContent>
                  </v:textbox>
                </v:shape>
                <v:shape id="Straight Arrow Connector 20" o:spid="_x0000_s1044" type="#_x0000_t32" style="position:absolute;left:19605;top:3276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Ia8AAAADbAAAADwAAAGRycy9kb3ducmV2LnhtbERPTWuDQBC9F/Iflgn0VtekWMS4EQlI&#10;cm3aQHKbuBOVuLPiron9991DocfH+86L2fTiQaPrLCtYRTEI4trqjhsF31/VWwrCeWSNvWVS8EMO&#10;iu3iJcdM2yd/0uPoGxFC2GWooPV+yKR0dUsGXWQH4sDd7GjQBzg2Uo/4DOGml+s4/pAGOw4NLQ60&#10;a6m+Hyej4P12nfepL2Vane1umpIkOVUXpV6Xc7kB4Wn2/+I/90ErWIf1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0iGvAAAAA2wAAAA8AAAAAAAAAAAAAAAAA&#10;oQIAAGRycy9kb3ducmV2LnhtbFBLBQYAAAAABAAEAPkAAACOAwAAAAA=&#10;" strokecolor="#4579b8 [3044]">
                  <v:stroke endarrow="open"/>
                </v:shape>
                <v:shape id="Straight Arrow Connector 21" o:spid="_x0000_s1045" type="#_x0000_t32" style="position:absolute;left:19605;top:4419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gt8MMAAADbAAAADwAAAGRycy9kb3ducmV2LnhtbESPT4vCMBTE78J+h/CEvdlUpVKqUUQo&#10;63X9A7u3Z/Nsi81LaVLtfvuNIHgcZuY3zGozmEbcqXO1ZQXTKAZBXFhdc6ngdMwnKQjnkTU2lknB&#10;HznYrD9GK8y0ffA33Q++FAHCLkMFlfdtJqUrKjLoItsSB+9qO4M+yK6UusNHgJtGzuJ4IQ3WHBYq&#10;bGlXUXE79EbB/HoZvlK/lWn+Y3d9nyTJOf9V6nM8bJcgPA3+HX6191rBbArP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4LfDDAAAA2wAAAA8AAAAAAAAAAAAA&#10;AAAAoQIAAGRycy9kb3ducmV2LnhtbFBLBQYAAAAABAAEAPkAAACRAwAAAAA=&#10;" strokecolor="#4579b8 [3044]">
                  <v:stroke endarrow="open"/>
                </v:shape>
                <v:shape id="Straight Arrow Connector 22" o:spid="_x0000_s1046" type="#_x0000_t32" style="position:absolute;left:19605;top:54102;width:48;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qzh8IAAADbAAAADwAAAGRycy9kb3ducmV2LnhtbESPT4vCMBTE78J+h/CEvWlqpVKqUUQo&#10;63X9A+7tbfNsi81LaVLtfvuNIHgcZuY3zGozmEbcqXO1ZQWzaQSCuLC65lLB6ZhPUhDOI2tsLJOC&#10;P3KwWX+MVphp++Bvuh98KQKEXYYKKu/bTEpXVGTQTW1LHLyr7Qz6ILtS6g4fAW4aGUfRQhqsOSxU&#10;2NKuouJ26I2C+fV3+Er9Vqb5xe76PkmSc/6j1Od42C5BeBr8O/xq77WCOIb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qzh8IAAADbAAAADwAAAAAAAAAAAAAA&#10;AAChAgAAZHJzL2Rvd25yZXYueG1sUEsFBgAAAAAEAAQA+QAAAJADAAAAAA==&#10;" strokecolor="#4579b8 [3044]">
                  <v:stroke endarrow="open"/>
                </v:shape>
                <v:shape id="Straight Arrow Connector 23" o:spid="_x0000_s1047" type="#_x0000_t32" style="position:absolute;left:19605;top:67056;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WHMIAAADbAAAADwAAAGRycy9kb3ducmV2LnhtbESPT4vCMBTE7wt+h/AEb2u6SqV0jSJC&#10;0av/QG9vm2dbtnkpTar12xtB8DjMzG+Y+bI3tbhR6yrLCn7GEQji3OqKCwXHQ/adgHAeWWNtmRQ8&#10;yMFyMfiaY6rtnXd02/tCBAi7FBWU3jeplC4vyaAb24Y4eFfbGvRBtoXULd4D3NRyEkUzabDisFBi&#10;Q+uS8v99ZxRMr3/9JvErmWRnu+66OI5P2UWp0bBf/YLw1PtP+N3eagWTKby+hB8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YWHMIAAADbAAAADwAAAAAAAAAAAAAA&#10;AAChAgAAZHJzL2Rvd25yZXYueG1sUEsFBgAAAAAEAAQA+QAAAJADAAAAAA==&#10;" strokecolor="#4579b8 [3044]">
                  <v:stroke endarrow="open"/>
                </v:shape>
                <v:shape id="Straight Arrow Connector 24" o:spid="_x0000_s1048" type="#_x0000_t32" style="position:absolute;left:19601;top:77724;width:8;height:3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G5ZsQAAADbAAAADwAAAGRycy9kb3ducmV2LnhtbESPX2vCMBTF3wd+h3AF32aqdGNUo4hj&#10;4BAcVUF8uzbXttjclCSz3bc3g8EeD+fPjzNf9qYRd3K+tqxgMk5AEBdW11wqOB4+nt9A+ICssbFM&#10;Cn7Iw3IxeJpjpm3HOd33oRRxhH2GCqoQ2kxKX1Rk0I9tSxy9q3UGQ5SulNphF8dNI6dJ8ioN1hwJ&#10;Fba0rqi47b9NhLyn+cv2tL2klK++usvneRfcWanRsF/NQATqw3/4r73RCqY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lmxAAAANsAAAAPAAAAAAAAAAAA&#10;AAAAAKECAABkcnMvZG93bnJldi54bWxQSwUGAAAAAAQABAD5AAAAkgMAAAAA&#10;" strokecolor="#4579b8 [3044]">
                  <v:stroke endarrow="open"/>
                </v:shape>
                <v:shape id="Straight Arrow Connector 25" o:spid="_x0000_s1049" type="#_x0000_t32" style="position:absolute;left:19605;top:38862;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r88EAAADbAAAADwAAAGRycy9kb3ducmV2LnhtbESPQYvCMBSE7wv+h/AEb2uqS5dSjSJC&#10;ca/qCnp7Ns+22LyUJtX6740geBxm5htmvuxNLW7Uusqygsk4AkGcW11xoeB/n30nIJxH1lhbJgUP&#10;crBcDL7mmGp75y3ddr4QAcIuRQWl900qpctLMujGtiEO3sW2Bn2QbSF1i/cAN7WcRtGvNFhxWCix&#10;oXVJ+XXXGQU/l3O/SfxKJtnRrrsujuNDdlJqNOxXMxCeev8Jv9t/WsE0hte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vzwQAAANsAAAAPAAAAAAAAAAAAAAAA&#10;AKECAABkcnMvZG93bnJldi54bWxQSwUGAAAAAAQABAD5AAAAjwMAAAAA&#10;" strokecolor="#4579b8 [3044]">
                  <v:stroke endarrow="open"/>
                </v:shape>
                <v:shape id="Straight Arrow Connector 26" o:spid="_x0000_s1050" type="#_x0000_t32" style="position:absolute;left:33321;top:61722;width:55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G1hMMAAADbAAAADwAAAGRycy9kb3ducmV2LnhtbESPwWrDMBBE74X+g9hCbrXcBAfjWgkh&#10;YNprkwba29ZaW6bWylhy4v59FAj0OMzMG6bczrYXZxp951jBS5KCIK6d7rhV8HmsnnMQPiBr7B2T&#10;gj/ysN08PpRYaHfhDzofQisihH2BCkwIQyGlrw1Z9IkbiKPXuNFiiHJspR7xEuG2l8s0XUuLHccF&#10;gwPtDdW/h8kqWDU/81sedjKvvtx+mrIsO1XfSi2e5t0riEBz+A/f2+9awXINty/x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RtYTDAAAA2wAAAA8AAAAAAAAAAAAA&#10;AAAAoQIAAGRycy9kb3ducmV2LnhtbFBLBQYAAAAABAAEAPkAAACRAwAAAAA=&#10;" strokecolor="#4579b8 [3044]">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hape 79" o:spid="_x0000_s1051" type="#_x0000_t34" style="position:absolute;left:32353;top:36957;width:30893;height:3657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V/rsQAAADbAAAADwAAAGRycy9kb3ducmV2LnhtbESPQWvCQBSE7wX/w/IEb3Wj2Cqpm6AN&#10;QqBFUEvPj+xrEsy+DbtbE/99t1DocZiZb5htPppO3Mj51rKCxTwBQVxZ3XKt4ONyeNyA8AFZY2eZ&#10;FNzJQ55NHraYajvwiW7nUIsIYZ+igiaEPpXSVw0Z9HPbE0fvyzqDIUpXS+1wiHDTyWWSPEuDLceF&#10;Bnt6bai6nr+Ngjd+Lz6r7qkYi7Arj8N6tXD7UqnZdNy9gAg0hv/wX7vUCpZr+P0Sf4DM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X+uxAAAANsAAAAPAAAAAAAAAAAA&#10;AAAAAKECAABkcnMvZG93bnJldi54bWxQSwUGAAAAAAQABAD5AAAAkgMAAAAA&#10;" adj="-1598" strokecolor="#4579b8 [3044]">
                  <v:stroke endarrow="open"/>
                </v:shape>
                <v:shape id="Straight Arrow Connector 28" o:spid="_x0000_s1052" type="#_x0000_t32" style="position:absolute;left:49530;top:78486;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EbcAAAADbAAAADwAAAGRycy9kb3ducmV2LnhtbERPTWuDQBC9F/Iflgn0VtekWMS4EQlI&#10;cm3aQHKbuBOVuLPiron9991DocfH+86L2fTiQaPrLCtYRTEI4trqjhsF31/VWwrCeWSNvWVS8EMO&#10;iu3iJcdM2yd/0uPoGxFC2GWooPV+yKR0dUsGXWQH4sDd7GjQBzg2Uo/4DOGml+s4/pAGOw4NLQ60&#10;a6m+Hyej4P12nfepL2Vane1umpIkOVUXpV6Xc7kB4Wn2/+I/90ErWIex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ChG3AAAAA2wAAAA8AAAAAAAAAAAAAAAAA&#10;oQIAAGRycy9kb3ducmV2LnhtbFBLBQYAAAAABAAEAPkAAACOAwAAAAA=&#10;" strokecolor="#4579b8 [3044]">
                  <v:stroke endarrow="open"/>
                </v:shape>
                <v:shape id="Straight Arrow Connector 29" o:spid="_x0000_s1053" type="#_x0000_t32" style="position:absolute;left:49530;top:64008;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4h9sMAAADbAAAADwAAAGRycy9kb3ducmV2LnhtbESPT4vCMBTE78J+h/AWvGmqS6VbjSJC&#10;Wa/+Wdi9PZtnW2xeSpNq/fZGEDwOM/MbZrHqTS2u1LrKsoLJOAJBnFtdcaHgeMhGCQjnkTXWlknB&#10;nRyslh+DBaba3nhH170vRICwS1FB6X2TSunykgy6sW2Ig3e2rUEfZFtI3eItwE0tp1E0kwYrDgsl&#10;NrQpKb/sO6Pg63zqfxK/lkn2ZzddF8fxb/av1PCzX89BeOr9O/xqb7WC6Tc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OIfbDAAAA2wAAAA8AAAAAAAAAAAAA&#10;AAAAoQIAAGRycy9kb3ducmV2LnhtbFBLBQYAAAAABAAEAPkAAACRAwAAAAA=&#10;" strokecolor="#4579b8 [3044]">
                  <v:stroke endarrow="open"/>
                </v:shape>
                <v:shape id="AutoShape 2" o:spid="_x0000_s1054" type="#_x0000_t109" style="position:absolute;left:6858;top:81534;width:2549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25cAA&#10;AADbAAAADwAAAGRycy9kb3ducmV2LnhtbERPTYvCMBC9C/sfwix4EU1VEOkaRWVXPClV2fPYjG2x&#10;mdQkavffbw6Cx8f7ni1aU4sHOV9ZVjAcJCCIc6srLhScjj/9KQgfkDXWlknBH3lYzD86M0y1fXJG&#10;j0MoRAxhn6KCMoQmldLnJRn0A9sQR+5incEQoSukdviM4aaWoySZSIMVx4YSG1qXlF8Pd6Og9307&#10;9jZXWWeT89666W/md+eVUt3PdvkFIlAb3uKXe6sVjOP6+CX+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125cAAAADbAAAADwAAAAAAAAAAAAAAAACYAgAAZHJzL2Rvd25y&#10;ZXYueG1sUEsFBgAAAAAEAAQA9QAAAIUDAAAAAA==&#10;" fillcolor="#b6dde8 [1304]">
                  <v:textbox>
                    <w:txbxContent>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Ongoing maintenance and compliance for SCMs.</w:t>
                        </w:r>
                      </w:p>
                      <w:p w:rsidR="00C06498" w:rsidRDefault="00C06498" w:rsidP="00C06498">
                        <w:pPr>
                          <w:pStyle w:val="NormalWeb"/>
                          <w:spacing w:before="0" w:beforeAutospacing="0" w:after="200" w:afterAutospacing="0"/>
                          <w:jc w:val="center"/>
                          <w:textAlignment w:val="baseline"/>
                        </w:pPr>
                        <w:r>
                          <w:rPr>
                            <w:rFonts w:ascii="Calibri" w:hAnsi="Calibri" w:cs="Arial"/>
                            <w:color w:val="000000" w:themeColor="text1"/>
                            <w:kern w:val="24"/>
                            <w:sz w:val="21"/>
                            <w:szCs w:val="21"/>
                          </w:rPr>
                          <w:t xml:space="preserve">                             </w:t>
                        </w:r>
                      </w:p>
                    </w:txbxContent>
                  </v:textbox>
                </v:shape>
                <v:shapetype id="_x0000_t202" coordsize="21600,21600" o:spt="202" path="m,l,21600r21600,l21600,xe">
                  <v:stroke joinstyle="miter"/>
                  <v:path gradientshapeok="t" o:connecttype="rect"/>
                </v:shapetype>
                <v:shape id="TextBox 145" o:spid="_x0000_s1055" type="#_x0000_t202" style="position:absolute;left:31399;top:14759;width:8878;height:2770;rotation:-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QZMMA&#10;AADbAAAADwAAAGRycy9kb3ducmV2LnhtbESPS4vCQBCE7wv7H4Ze8LZOfBKioywLgo+TRsRjm+lN&#10;wmZ6QmbU6K93BMFjUVVfUdN5aypxocaVlhX0uhEI4szqknMF+3TxHYNwHlljZZkU3MjBfPb5McVE&#10;2ytv6bLzuQgQdgkqKLyvEyldVpBB17U1cfD+bGPQB9nkUjd4DXBTyX4UjaXBksNCgTX9FpT9785G&#10;weZ0WK2r+whje8wOpi7TfDRMlep8tT8TEJ5a/w6/2kutYNCD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iQZMMAAADbAAAADwAAAAAAAAAAAAAAAACYAgAAZHJzL2Rv&#10;d25yZXYueG1sUEsFBgAAAAAEAAQA9QAAAIgDAAAAAA==&#10;" filled="f" stroked="f">
                  <v:textbox style="mso-fit-shape-to-text:t">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incomplete</w:t>
                        </w:r>
                      </w:p>
                    </w:txbxContent>
                  </v:textbox>
                </v:shape>
                <v:shape id="TextBox 146" o:spid="_x0000_s1056" type="#_x0000_t202" style="position:absolute;left:32195;top:19970;width:7474;height:2770;rotation: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6a8MA&#10;AADbAAAADwAAAGRycy9kb3ducmV2LnhtbESP0WoCMRRE3wX/IVzBN01UKLI1imgFsa1a2w+4bK67&#10;q5ub7SbV9e9NQfBxmJkzzGTW2FJcqPaFYw2DvgJBnDpTcKbh53vVG4PwAdlg6Zg03MjDbNpuTTAx&#10;7spfdDmETEQI+wQ15CFUiZQ+zcmi77uKOHpHV1sMUdaZNDVeI9yWcqjUi7RYcFzIsaJFTun58Gc1&#10;/LL5VIMPuXlTu9Vp/37czpeOtO52mvkriEBNeIYf7bXRMBrC/5f4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c6a8MAAADbAAAADwAAAAAAAAAAAAAAAACYAgAAZHJzL2Rv&#10;d25yZXYueG1sUEsFBgAAAAAEAAQA9QAAAIgDAAAAAA==&#10;" filled="f" stroked="f">
                  <v:textbox style="mso-fit-shape-to-text:t">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ineligible</w:t>
                        </w:r>
                      </w:p>
                    </w:txbxContent>
                  </v:textbox>
                </v:shape>
                <v:shape id="TextBox 147" o:spid="_x0000_s1057" type="#_x0000_t202" style="position:absolute;left:34290;top:59436;width:3658;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No</w:t>
                        </w:r>
                      </w:p>
                    </w:txbxContent>
                  </v:textbox>
                </v:shape>
                <v:shape id="TextBox 148" o:spid="_x0000_s1058" type="#_x0000_t202" style="position:absolute;left:48768;top:78486;width:3658;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No</w:t>
                        </w:r>
                      </w:p>
                    </w:txbxContent>
                  </v:textbox>
                </v:shape>
                <v:shape id="TextBox 150" o:spid="_x0000_s1059" type="#_x0000_t202" style="position:absolute;left:19812;top:67056;width:3868;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Yes</w:t>
                        </w:r>
                      </w:p>
                    </w:txbxContent>
                  </v:textbox>
                </v:shape>
                <v:shape id="TextBox 155" o:spid="_x0000_s1060" type="#_x0000_t202" style="position:absolute;left:61722;top:70866;width:3868;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Yes</w:t>
                        </w:r>
                      </w:p>
                    </w:txbxContent>
                  </v:textbox>
                </v:shape>
                <v:shape id="TextBox 157" o:spid="_x0000_s1061" type="#_x0000_t202" style="position:absolute;top:2286;width:68580;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C06498" w:rsidRDefault="00C06498" w:rsidP="00C06498">
                        <w:pPr>
                          <w:pStyle w:val="NormalWeb"/>
                          <w:spacing w:before="0" w:beforeAutospacing="0" w:after="0" w:afterAutospacing="0"/>
                          <w:jc w:val="center"/>
                        </w:pPr>
                        <w:r>
                          <w:rPr>
                            <w:rFonts w:asciiTheme="minorHAnsi" w:hAnsi="Calibri" w:cstheme="minorBidi"/>
                            <w:b/>
                            <w:bCs/>
                            <w:color w:val="000000" w:themeColor="text1"/>
                            <w:kern w:val="24"/>
                            <w:sz w:val="28"/>
                            <w:szCs w:val="28"/>
                          </w:rPr>
                          <w:t>Potential Fast-track Process for MDC Team Discussion</w:t>
                        </w:r>
                      </w:p>
                    </w:txbxContent>
                  </v:textbox>
                </v:shape>
                <v:shapetype id="_x0000_t33" coordsize="21600,21600" o:spt="33" o:oned="t" path="m,l21600,r,21600e" filled="f">
                  <v:stroke joinstyle="miter"/>
                  <v:path arrowok="t" fillok="f" o:connecttype="none"/>
                  <o:lock v:ext="edit" shapetype="t"/>
                </v:shapetype>
                <v:shape id="Shape 46" o:spid="_x0000_s1062" type="#_x0000_t33" style="position:absolute;left:39227;top:2651;width:3429;height:1717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ig0MEAAADbAAAADwAAAGRycy9kb3ducmV2LnhtbERPy2rCQBTdF/yH4Qrd1Ym2VI2OEgot&#10;xUKh0YXLa+aaBDN3wsw0j793FoUuD+e93Q+mER05X1tWMJ8lIIgLq2suFZyO708rED4ga2wsk4KR&#10;POx3k4ctptr2/ENdHkoRQ9inqKAKoU2l9EVFBv3MtsSRu1pnMEToSqkd9jHcNHKRJK/SYM2xocKW&#10;3ioqbvmvUWDPdU7rjwxf+Pa9vBzmX5JHp9TjdMg2IAIN4V/85/7UCp7j2Pgl/gC5u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yKDQwQAAANsAAAAPAAAAAAAAAAAAAAAA&#10;AKECAABkcnMvZG93bnJldi54bWxQSwUGAAAAAAQABAD5AAAAjwMAAAAA&#10;" strokecolor="#4579b8 [3044]">
                  <v:stroke endarrow="open"/>
                </v:shape>
                <v:shape id="TextBox 48" o:spid="_x0000_s1063" type="#_x0000_t202" style="position:absolute;left:19812;top:23622;width:3868;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fit-shape-to-text:t">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rPr>
                          <w:t>Yes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0" o:spid="_x0000_s1064" type="#_x0000_t87" style="position:absolute;left:3619;top:6096;width:3048;height:18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ojb0A&#10;AADbAAAADwAAAGRycy9kb3ducmV2LnhtbERPTYvCMBC9C/6HMII3TVdUpGuURRBE6sHai7chmW2L&#10;zaQ0Ueu/NwfB4+N9r7e9bcSDOl87VvAzTUAQa2dqLhUUl/1kBcIHZIONY1LwIg/bzXCwxtS4J5/p&#10;kYdSxBD2KSqoQmhTKb2uyKKfupY4cv+usxgi7EppOnzGcNvIWZIspcWaY0OFLe0q0rf8bhUspM5O&#10;Vh+bm+QsL13W5gVelRqP+r9fEIH68BV/3AejYB7Xxy/xB8jN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csojb0AAADbAAAADwAAAAAAAAAAAAAAAACYAgAAZHJzL2Rvd25yZXYu&#10;eG1sUEsFBgAAAAAEAAQA9QAAAIIDAAAAAA==&#10;" adj="300" strokecolor="#4579b8 [3044]">
                  <v:textbox>
                    <w:txbxContent>
                      <w:p w:rsidR="00C06498" w:rsidRDefault="00C06498" w:rsidP="00C06498">
                        <w:pPr>
                          <w:rPr>
                            <w:rFonts w:eastAsia="Times New Roman"/>
                          </w:rPr>
                        </w:pPr>
                      </w:p>
                    </w:txbxContent>
                  </v:textbox>
                </v:shape>
                <v:shape id="Left Brace 41" o:spid="_x0000_s1065" type="#_x0000_t87" style="position:absolute;left:3619;top:25908;width:3048;height:29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8QMMA&#10;AADbAAAADwAAAGRycy9kb3ducmV2LnhtbESPT4vCMBTE7wt+h/AEb2tqcddajSKi4GkX/4DXZ/Ns&#10;is1LaaLWb79ZWNjjMDO/YebLztbiQa2vHCsYDRMQxIXTFZcKTsftewbCB2SNtWNS8CIPy0XvbY65&#10;dk/e0+MQShEh7HNUYEJocil9YciiH7qGOHpX11oMUbal1C0+I9zWMk2ST2mx4rhgsKG1oeJ2uFsF&#10;F8vp7rr9+Dp/m2zj0mx6nlymSg363WoGIlAX/sN/7Z1WMB7B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n8QMMAAADbAAAADwAAAAAAAAAAAAAAAACYAgAAZHJzL2Rv&#10;d25yZXYueG1sUEsFBgAAAAAEAAQA9QAAAIgDAAAAAA==&#10;" adj="185" strokecolor="#4579b8 [3044]">
                  <v:textbox>
                    <w:txbxContent>
                      <w:p w:rsidR="00C06498" w:rsidRDefault="00C06498" w:rsidP="00C06498">
                        <w:pPr>
                          <w:rPr>
                            <w:rFonts w:eastAsia="Times New Roman"/>
                          </w:rPr>
                        </w:pPr>
                      </w:p>
                    </w:txbxContent>
                  </v:textbox>
                </v:shape>
                <v:shape id="Left Brace 42" o:spid="_x0000_s1066" type="#_x0000_t87" style="position:absolute;left:3619;top:56388;width:3048;height:31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yRsUA&#10;AADbAAAADwAAAGRycy9kb3ducmV2LnhtbESPQWvCQBSE70L/w/IK3nTTUESiq0ihWnpo0VbQ2yP7&#10;mqTNvk12V5P+e1cQPA4z8w0zX/amFmdyvrKs4GmcgCDOra64UPD99TqagvABWWNtmRT8k4fl4mEw&#10;x0zbjrd03oVCRAj7DBWUITSZlD4vyaAf24Y4ej/WGQxRukJqh12Em1qmSTKRBiuOCyU29FJS/rc7&#10;GQXusP89riYf7+uWPlPTbkLbdVqp4WO/moEI1Id7+NZ+0wqeU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fJGxQAAANsAAAAPAAAAAAAAAAAAAAAAAJgCAABkcnMv&#10;ZG93bnJldi54bWxQSwUGAAAAAAQABAD1AAAAigMAAAAA&#10;" adj="176" strokecolor="#4579b8 [3044]">
                  <v:textbox>
                    <w:txbxContent>
                      <w:p w:rsidR="00C06498" w:rsidRDefault="00C06498" w:rsidP="00C06498">
                        <w:pPr>
                          <w:rPr>
                            <w:rFonts w:eastAsia="Times New Roman"/>
                          </w:rPr>
                        </w:pPr>
                      </w:p>
                    </w:txbxContent>
                  </v:textbox>
                </v:shape>
                <v:shape id="TextBox 55" o:spid="_x0000_s1067" type="#_x0000_t202" style="position:absolute;top:12954;width:4988;height:4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Feb</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2015</w:t>
                        </w:r>
                      </w:p>
                    </w:txbxContent>
                  </v:textbox>
                </v:shape>
                <v:shape id="TextBox 43" o:spid="_x0000_s1068" type="#_x0000_t202" style="position:absolute;top:38862;width:4988;height:4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fit-shape-to-text:t">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Mar</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2015</w:t>
                        </w:r>
                      </w:p>
                    </w:txbxContent>
                  </v:textbox>
                </v:shape>
                <v:shape id="TextBox 44" o:spid="_x0000_s1069" type="#_x0000_t202" style="position:absolute;left:-1524;top:64770;width:7878;height:13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Apr</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2015</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(blue)</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&amp;</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May</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2015</w:t>
                        </w:r>
                      </w:p>
                      <w:p w:rsidR="00C06498" w:rsidRDefault="00C06498" w:rsidP="00C06498">
                        <w:pPr>
                          <w:pStyle w:val="NormalWeb"/>
                          <w:spacing w:before="0" w:beforeAutospacing="0" w:after="0" w:afterAutospacing="0"/>
                          <w:jc w:val="center"/>
                        </w:pPr>
                        <w:r>
                          <w:rPr>
                            <w:rFonts w:asciiTheme="minorHAnsi" w:hAnsi="Calibri" w:cstheme="minorBidi"/>
                            <w:color w:val="000000" w:themeColor="text1"/>
                            <w:kern w:val="24"/>
                          </w:rPr>
                          <w:t>(pink)</w:t>
                        </w:r>
                      </w:p>
                    </w:txbxContent>
                  </v:textbox>
                </v:shape>
                <v:shape id="TextBox 56" o:spid="_x0000_s1070" type="#_x0000_t202" style="position:absolute;left:33528;top:6096;width:3286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C06498" w:rsidRDefault="00C06498" w:rsidP="00C06498">
                        <w:pPr>
                          <w:pStyle w:val="NormalWeb"/>
                          <w:spacing w:before="0" w:beforeAutospacing="0" w:after="0" w:afterAutospacing="0"/>
                        </w:pPr>
                        <w:r>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u w:val="single"/>
                          </w:rPr>
                          <w:t>Note</w:t>
                        </w:r>
                        <w:r>
                          <w:rPr>
                            <w:rFonts w:asciiTheme="minorHAnsi" w:hAnsi="Calibri" w:cstheme="minorBidi"/>
                            <w:color w:val="000000" w:themeColor="text1"/>
                            <w:kern w:val="24"/>
                            <w:sz w:val="22"/>
                            <w:szCs w:val="22"/>
                          </w:rPr>
                          <w:t>:  We’ll define “qualified professional” in March.</w:t>
                        </w:r>
                      </w:p>
                    </w:txbxContent>
                  </v:textbox>
                </v:shape>
                <w10:anchorlock/>
              </v:group>
            </w:pict>
          </mc:Fallback>
        </mc:AlternateContent>
      </w:r>
    </w:p>
    <w:p w:rsidR="00B71988" w:rsidRPr="00B71988" w:rsidRDefault="00B71988" w:rsidP="00B833FA">
      <w:pPr>
        <w:tabs>
          <w:tab w:val="left" w:pos="1763"/>
        </w:tabs>
        <w:spacing w:after="0" w:line="240" w:lineRule="auto"/>
        <w:ind w:left="103"/>
        <w:jc w:val="center"/>
        <w:rPr>
          <w:rFonts w:eastAsia="Times New Roman" w:cs="Arial"/>
          <w:b/>
          <w:bCs/>
          <w:sz w:val="24"/>
          <w:szCs w:val="20"/>
        </w:rPr>
      </w:pPr>
    </w:p>
    <w:p w:rsidR="00B71988" w:rsidRPr="00B71988" w:rsidRDefault="00B71988" w:rsidP="005261AB">
      <w:pPr>
        <w:spacing w:after="0"/>
        <w:rPr>
          <w:rFonts w:eastAsia="Times New Roman" w:cs="Arial"/>
          <w:b/>
          <w:bCs/>
          <w:sz w:val="24"/>
          <w:szCs w:val="20"/>
        </w:rPr>
      </w:pPr>
    </w:p>
    <w:p w:rsidR="00FC01A2" w:rsidRPr="00B71988" w:rsidRDefault="005261AB" w:rsidP="005261AB">
      <w:pPr>
        <w:spacing w:after="0"/>
        <w:rPr>
          <w:rFonts w:eastAsia="Times New Roman" w:cs="Arial"/>
          <w:b/>
          <w:bCs/>
          <w:sz w:val="26"/>
          <w:szCs w:val="26"/>
        </w:rPr>
      </w:pPr>
      <w:r w:rsidRPr="00B71988">
        <w:rPr>
          <w:rFonts w:eastAsia="Times New Roman" w:cs="Arial"/>
          <w:b/>
          <w:bCs/>
          <w:sz w:val="26"/>
          <w:szCs w:val="26"/>
        </w:rPr>
        <w:lastRenderedPageBreak/>
        <w:t xml:space="preserve">For Discussion:  </w:t>
      </w:r>
      <w:r w:rsidR="00C24C7D" w:rsidRPr="00B71988">
        <w:rPr>
          <w:rFonts w:eastAsia="Times New Roman" w:cs="Arial"/>
          <w:b/>
          <w:bCs/>
          <w:sz w:val="26"/>
          <w:szCs w:val="26"/>
        </w:rPr>
        <w:t xml:space="preserve">List of </w:t>
      </w:r>
      <w:r w:rsidR="00FC01A2" w:rsidRPr="00B71988">
        <w:rPr>
          <w:rFonts w:eastAsia="Times New Roman" w:cs="Arial"/>
          <w:b/>
          <w:bCs/>
          <w:sz w:val="26"/>
          <w:szCs w:val="26"/>
        </w:rPr>
        <w:t xml:space="preserve">Projects that </w:t>
      </w:r>
      <w:r w:rsidR="00B71988" w:rsidRPr="00B71988">
        <w:rPr>
          <w:rFonts w:eastAsia="Times New Roman" w:cs="Arial"/>
          <w:b/>
          <w:bCs/>
          <w:sz w:val="26"/>
          <w:szCs w:val="26"/>
        </w:rPr>
        <w:t>are not eligible for</w:t>
      </w:r>
      <w:r w:rsidR="00FC01A2" w:rsidRPr="00B71988">
        <w:rPr>
          <w:rFonts w:eastAsia="Times New Roman" w:cs="Arial"/>
          <w:b/>
          <w:bCs/>
          <w:sz w:val="26"/>
          <w:szCs w:val="26"/>
        </w:rPr>
        <w:t xml:space="preserve"> Fast-Track</w:t>
      </w:r>
    </w:p>
    <w:p w:rsidR="005261AB" w:rsidRPr="00B71988" w:rsidRDefault="005261AB" w:rsidP="005261AB">
      <w:pPr>
        <w:spacing w:after="0"/>
        <w:rPr>
          <w:rFonts w:eastAsia="Times New Roman" w:cs="Arial"/>
          <w:b/>
          <w:bCs/>
          <w:sz w:val="8"/>
          <w:szCs w:val="26"/>
        </w:rPr>
      </w:pPr>
    </w:p>
    <w:p w:rsidR="00FC01A2" w:rsidRPr="00B71988" w:rsidRDefault="00FC01A2" w:rsidP="005261AB">
      <w:pPr>
        <w:pStyle w:val="NoSpacing"/>
        <w:numPr>
          <w:ilvl w:val="0"/>
          <w:numId w:val="2"/>
        </w:numPr>
      </w:pPr>
      <w:r w:rsidRPr="00B71988">
        <w:t xml:space="preserve">Projects where </w:t>
      </w:r>
      <w:r w:rsidR="00754DAD">
        <w:t>that</w:t>
      </w:r>
      <w:r w:rsidRPr="00B71988">
        <w:t xml:space="preserve"> do not follow the MDC.</w:t>
      </w:r>
    </w:p>
    <w:p w:rsidR="00FC01A2" w:rsidRPr="00B71988" w:rsidRDefault="00FC01A2" w:rsidP="005261AB">
      <w:pPr>
        <w:pStyle w:val="NoSpacing"/>
        <w:numPr>
          <w:ilvl w:val="0"/>
          <w:numId w:val="2"/>
        </w:numPr>
      </w:pPr>
      <w:r w:rsidRPr="00B71988">
        <w:t>Projects claiming vested rights.</w:t>
      </w:r>
    </w:p>
    <w:p w:rsidR="00C24C7D" w:rsidRPr="00B71988" w:rsidRDefault="00C24C7D" w:rsidP="005261AB">
      <w:pPr>
        <w:pStyle w:val="NoSpacing"/>
        <w:numPr>
          <w:ilvl w:val="0"/>
          <w:numId w:val="2"/>
        </w:numPr>
      </w:pPr>
      <w:r w:rsidRPr="00B71988">
        <w:t>Projects that require a CAMA permit, 401 Certification, buffer approval, waiver or variance</w:t>
      </w:r>
      <w:r w:rsidR="00754DAD">
        <w:t xml:space="preserve"> from the state</w:t>
      </w:r>
      <w:r w:rsidRPr="00B71988">
        <w:t>.</w:t>
      </w:r>
    </w:p>
    <w:p w:rsidR="00B71988" w:rsidRPr="00B71988" w:rsidRDefault="00B71988" w:rsidP="005261AB">
      <w:pPr>
        <w:pStyle w:val="NoSpacing"/>
        <w:numPr>
          <w:ilvl w:val="0"/>
          <w:numId w:val="2"/>
        </w:numPr>
      </w:pPr>
      <w:r w:rsidRPr="00B71988">
        <w:t>Projects that require a watershed permit or other stormwater review from a local government.</w:t>
      </w:r>
    </w:p>
    <w:p w:rsidR="00C24C7D" w:rsidRDefault="00C24C7D" w:rsidP="005261AB">
      <w:pPr>
        <w:pStyle w:val="NoSpacing"/>
        <w:numPr>
          <w:ilvl w:val="0"/>
          <w:numId w:val="2"/>
        </w:numPr>
      </w:pPr>
      <w:r w:rsidRPr="00B71988">
        <w:t>Modifications to existing permits.</w:t>
      </w:r>
    </w:p>
    <w:p w:rsidR="00A73737" w:rsidRPr="00A73737" w:rsidRDefault="00A73737" w:rsidP="00A73737">
      <w:pPr>
        <w:pStyle w:val="ListParagraph"/>
        <w:numPr>
          <w:ilvl w:val="0"/>
          <w:numId w:val="2"/>
        </w:numPr>
        <w:spacing w:after="0" w:line="240" w:lineRule="auto"/>
        <w:contextualSpacing w:val="0"/>
        <w:rPr>
          <w:color w:val="FF0000"/>
          <w:u w:val="single"/>
        </w:rPr>
      </w:pPr>
      <w:r w:rsidRPr="00A73737">
        <w:rPr>
          <w:color w:val="FF0000"/>
          <w:u w:val="single"/>
        </w:rPr>
        <w:t>Projects currently in non-compliance</w:t>
      </w:r>
    </w:p>
    <w:p w:rsidR="00A73737" w:rsidRPr="00A73737" w:rsidRDefault="00A73737" w:rsidP="00A73737">
      <w:pPr>
        <w:pStyle w:val="ListParagraph"/>
        <w:numPr>
          <w:ilvl w:val="0"/>
          <w:numId w:val="2"/>
        </w:numPr>
        <w:spacing w:after="0" w:line="240" w:lineRule="auto"/>
        <w:contextualSpacing w:val="0"/>
        <w:rPr>
          <w:color w:val="FF0000"/>
          <w:u w:val="single"/>
        </w:rPr>
      </w:pPr>
      <w:r w:rsidRPr="00A73737">
        <w:rPr>
          <w:color w:val="FF0000"/>
          <w:u w:val="single"/>
        </w:rPr>
        <w:t xml:space="preserve">Projects for Transfer (these require an inspection prior to transfer and often it is found there are issues before a transfer can be processed). </w:t>
      </w:r>
    </w:p>
    <w:p w:rsidR="00A73737" w:rsidRPr="00A73737" w:rsidRDefault="00A73737" w:rsidP="00A73737">
      <w:pPr>
        <w:pStyle w:val="ListParagraph"/>
        <w:numPr>
          <w:ilvl w:val="0"/>
          <w:numId w:val="2"/>
        </w:numPr>
        <w:spacing w:after="0" w:line="240" w:lineRule="auto"/>
        <w:contextualSpacing w:val="0"/>
        <w:rPr>
          <w:color w:val="FF0000"/>
          <w:u w:val="single"/>
        </w:rPr>
      </w:pPr>
      <w:r w:rsidRPr="00A73737">
        <w:rPr>
          <w:color w:val="FF0000"/>
          <w:u w:val="single"/>
        </w:rPr>
        <w:t xml:space="preserve">Off- site permits unless an inspection has already been conducted for the Master permit BMP and it is in compliance.  Here compliance means that the pond is operating correctly and can handle additional stormwater (minor non-compliance like grass not growing on pond slopes should not hold up an offsite.) </w:t>
      </w:r>
    </w:p>
    <w:p w:rsidR="006137BB" w:rsidRPr="00A73737" w:rsidRDefault="00A73737" w:rsidP="00FC01A2">
      <w:pPr>
        <w:pStyle w:val="ListParagraph"/>
        <w:numPr>
          <w:ilvl w:val="0"/>
          <w:numId w:val="2"/>
        </w:numPr>
        <w:spacing w:after="0" w:line="240" w:lineRule="auto"/>
        <w:contextualSpacing w:val="0"/>
        <w:rPr>
          <w:color w:val="FF0000"/>
          <w:u w:val="single"/>
        </w:rPr>
      </w:pPr>
      <w:r w:rsidRPr="00A73737">
        <w:rPr>
          <w:color w:val="FF0000"/>
          <w:u w:val="single"/>
        </w:rPr>
        <w:t xml:space="preserve">Renewals unless an inspection has already been conducted in the last 3 months and it is in compliance. </w:t>
      </w:r>
    </w:p>
    <w:p w:rsidR="00A73737" w:rsidRPr="00B71988" w:rsidRDefault="00A73737" w:rsidP="00FC01A2"/>
    <w:p w:rsidR="00B71988" w:rsidRPr="00B71988" w:rsidRDefault="00B71988" w:rsidP="00B71988">
      <w:pPr>
        <w:tabs>
          <w:tab w:val="left" w:pos="1763"/>
        </w:tabs>
        <w:spacing w:after="0" w:line="240" w:lineRule="auto"/>
        <w:rPr>
          <w:rFonts w:eastAsia="Times New Roman" w:cs="Arial"/>
          <w:b/>
          <w:bCs/>
          <w:sz w:val="26"/>
          <w:szCs w:val="26"/>
        </w:rPr>
      </w:pPr>
      <w:r w:rsidRPr="00B71988">
        <w:rPr>
          <w:rFonts w:eastAsia="Times New Roman" w:cs="Arial"/>
          <w:b/>
          <w:bCs/>
          <w:sz w:val="26"/>
          <w:szCs w:val="26"/>
        </w:rPr>
        <w:t>For Discussion:  Items that should be required in a Fast-Track Permit Application</w:t>
      </w:r>
    </w:p>
    <w:p w:rsidR="00B71988" w:rsidRPr="00B71988" w:rsidRDefault="00B71988" w:rsidP="00B71988">
      <w:pPr>
        <w:tabs>
          <w:tab w:val="left" w:pos="1763"/>
        </w:tabs>
        <w:spacing w:after="0" w:line="240" w:lineRule="auto"/>
        <w:rPr>
          <w:rFonts w:eastAsia="Times New Roman" w:cs="Arial"/>
          <w:b/>
          <w:bCs/>
          <w:sz w:val="10"/>
          <w:szCs w:val="20"/>
        </w:rPr>
      </w:pPr>
    </w:p>
    <w:p w:rsidR="00B71988" w:rsidRPr="00A73737" w:rsidRDefault="00B71988" w:rsidP="00B71988">
      <w:pPr>
        <w:pStyle w:val="ListParagraph"/>
        <w:numPr>
          <w:ilvl w:val="0"/>
          <w:numId w:val="1"/>
        </w:numPr>
        <w:tabs>
          <w:tab w:val="left" w:pos="810"/>
        </w:tabs>
        <w:spacing w:before="120" w:after="0" w:line="240" w:lineRule="auto"/>
        <w:contextualSpacing w:val="0"/>
        <w:rPr>
          <w:rFonts w:eastAsia="Times New Roman" w:cs="Arial"/>
        </w:rPr>
      </w:pPr>
      <w:r w:rsidRPr="00A73737">
        <w:rPr>
          <w:rFonts w:eastAsia="Times New Roman" w:cs="Arial"/>
        </w:rPr>
        <w:t>Application form and permit application fee. (Should we require use of the Storm-EZ form for fast track?).</w:t>
      </w:r>
    </w:p>
    <w:p w:rsidR="00754DAD" w:rsidRPr="00A73737" w:rsidRDefault="00754DAD" w:rsidP="00B71988">
      <w:pPr>
        <w:pStyle w:val="ListParagraph"/>
        <w:numPr>
          <w:ilvl w:val="0"/>
          <w:numId w:val="1"/>
        </w:numPr>
        <w:tabs>
          <w:tab w:val="left" w:pos="810"/>
        </w:tabs>
        <w:spacing w:before="120" w:after="0" w:line="240" w:lineRule="auto"/>
        <w:contextualSpacing w:val="0"/>
        <w:rPr>
          <w:rFonts w:eastAsia="Times New Roman" w:cs="Arial"/>
        </w:rPr>
      </w:pPr>
      <w:r w:rsidRPr="00A73737">
        <w:rPr>
          <w:rFonts w:eastAsia="Times New Roman" w:cs="Arial"/>
        </w:rPr>
        <w:t>A sealed, signed, dated &amp; notarized statement that the project has followed the MDC.</w:t>
      </w:r>
    </w:p>
    <w:p w:rsidR="00A73737" w:rsidRPr="00A73737" w:rsidRDefault="00A73737" w:rsidP="00A73737">
      <w:pPr>
        <w:pStyle w:val="ListParagraph"/>
        <w:numPr>
          <w:ilvl w:val="0"/>
          <w:numId w:val="1"/>
        </w:numPr>
        <w:tabs>
          <w:tab w:val="left" w:pos="810"/>
        </w:tabs>
        <w:spacing w:before="120" w:after="0" w:line="240" w:lineRule="auto"/>
        <w:contextualSpacing w:val="0"/>
        <w:rPr>
          <w:rFonts w:eastAsia="Times New Roman" w:cs="Arial"/>
        </w:rPr>
      </w:pPr>
      <w:r w:rsidRPr="00A73737">
        <w:rPr>
          <w:rFonts w:eastAsia="Times New Roman" w:cs="Arial"/>
          <w:color w:val="FF0000"/>
          <w:u w:val="single"/>
        </w:rPr>
        <w:t>Suggestion from DEMLR staff:  accurate GPS coordinates</w:t>
      </w:r>
      <w:r w:rsidRPr="00A73737">
        <w:rPr>
          <w:rFonts w:eastAsia="Times New Roman" w:cs="Arial"/>
          <w:color w:val="FF0000"/>
        </w:rPr>
        <w:t>.</w:t>
      </w:r>
    </w:p>
    <w:p w:rsidR="00B71988" w:rsidRPr="00A73737" w:rsidRDefault="00B71988" w:rsidP="00B71988">
      <w:pPr>
        <w:pStyle w:val="ListParagraph"/>
        <w:numPr>
          <w:ilvl w:val="0"/>
          <w:numId w:val="1"/>
        </w:numPr>
        <w:tabs>
          <w:tab w:val="left" w:pos="810"/>
        </w:tabs>
        <w:spacing w:before="120" w:after="0" w:line="240" w:lineRule="auto"/>
        <w:contextualSpacing w:val="0"/>
        <w:rPr>
          <w:rFonts w:eastAsia="Times New Roman" w:cs="Arial"/>
        </w:rPr>
      </w:pPr>
      <w:r w:rsidRPr="00A73737">
        <w:rPr>
          <w:rFonts w:eastAsia="Times New Roman" w:cs="Arial"/>
        </w:rPr>
        <w:t>A USGS map identifying the site location. If the receiving stream is reported as class SA or the receiving stream drains to and is within 1/2 mile of SA waters, then include the 1/2 mile radius on the map.</w:t>
      </w:r>
    </w:p>
    <w:p w:rsidR="00B71988" w:rsidRPr="00A73737" w:rsidRDefault="00B71988" w:rsidP="00B71988">
      <w:pPr>
        <w:pStyle w:val="ListParagraph"/>
        <w:numPr>
          <w:ilvl w:val="0"/>
          <w:numId w:val="1"/>
        </w:numPr>
        <w:tabs>
          <w:tab w:val="left" w:pos="810"/>
        </w:tabs>
        <w:spacing w:before="120" w:after="0" w:line="240" w:lineRule="auto"/>
        <w:contextualSpacing w:val="0"/>
        <w:rPr>
          <w:rFonts w:eastAsia="Times New Roman" w:cs="Arial"/>
        </w:rPr>
      </w:pPr>
      <w:r w:rsidRPr="00A73737">
        <w:rPr>
          <w:rFonts w:eastAsia="Times New Roman" w:cs="Arial"/>
        </w:rPr>
        <w:t xml:space="preserve">A copy of the most current property deed.       </w:t>
      </w:r>
    </w:p>
    <w:p w:rsidR="00B71988" w:rsidRPr="00A73737" w:rsidRDefault="00B71988" w:rsidP="00B71988">
      <w:pPr>
        <w:pStyle w:val="ListParagraph"/>
        <w:numPr>
          <w:ilvl w:val="0"/>
          <w:numId w:val="1"/>
        </w:numPr>
        <w:tabs>
          <w:tab w:val="left" w:pos="810"/>
        </w:tabs>
        <w:spacing w:before="120" w:after="0" w:line="240" w:lineRule="auto"/>
        <w:contextualSpacing w:val="0"/>
        <w:rPr>
          <w:rFonts w:eastAsia="Times New Roman" w:cs="Arial"/>
        </w:rPr>
      </w:pPr>
      <w:r w:rsidRPr="00A73737">
        <w:rPr>
          <w:rFonts w:eastAsia="Times New Roman" w:cs="Arial"/>
        </w:rPr>
        <w:t>Sealed, signed and dated calculations.</w:t>
      </w:r>
    </w:p>
    <w:p w:rsidR="00B71988" w:rsidRPr="00A73737" w:rsidRDefault="00B71988" w:rsidP="00B71988">
      <w:pPr>
        <w:pStyle w:val="ListParagraph"/>
        <w:numPr>
          <w:ilvl w:val="0"/>
          <w:numId w:val="1"/>
        </w:numPr>
        <w:tabs>
          <w:tab w:val="left" w:pos="810"/>
        </w:tabs>
        <w:spacing w:before="120" w:after="0" w:line="240" w:lineRule="auto"/>
        <w:contextualSpacing w:val="0"/>
        <w:rPr>
          <w:rFonts w:eastAsia="Times New Roman" w:cs="Arial"/>
        </w:rPr>
      </w:pPr>
      <w:r w:rsidRPr="00A73737">
        <w:rPr>
          <w:rFonts w:eastAsia="Times New Roman" w:cs="Arial"/>
        </w:rPr>
        <w:t>Sealed, signed, &amp; dated 24’x36” plans of the entire site at a readable scale, including:</w:t>
      </w:r>
    </w:p>
    <w:p w:rsidR="00B71988" w:rsidRPr="00A73737" w:rsidRDefault="00B71988" w:rsidP="00B71988">
      <w:pPr>
        <w:tabs>
          <w:tab w:val="left" w:pos="990"/>
        </w:tabs>
        <w:spacing w:before="120" w:after="0" w:line="240" w:lineRule="auto"/>
        <w:ind w:left="990"/>
        <w:rPr>
          <w:rFonts w:eastAsia="Times New Roman" w:cs="Arial"/>
        </w:rPr>
      </w:pPr>
      <w:r w:rsidRPr="00A73737">
        <w:rPr>
          <w:rFonts w:eastAsia="Times New Roman" w:cs="Arial"/>
        </w:rPr>
        <w:t>a.    Project name, engineer and firm, revision number and dates.</w:t>
      </w:r>
    </w:p>
    <w:p w:rsidR="00B71988" w:rsidRPr="00A73737" w:rsidRDefault="00B71988" w:rsidP="00B71988">
      <w:pPr>
        <w:spacing w:before="120" w:after="0" w:line="240" w:lineRule="auto"/>
        <w:ind w:left="1350" w:hanging="360"/>
        <w:rPr>
          <w:rFonts w:eastAsia="Times New Roman" w:cs="Arial"/>
        </w:rPr>
      </w:pPr>
      <w:r w:rsidRPr="00A73737">
        <w:rPr>
          <w:rFonts w:eastAsia="Times New Roman" w:cs="Arial"/>
        </w:rPr>
        <w:t xml:space="preserve">b. </w:t>
      </w:r>
      <w:r w:rsidRPr="00A73737">
        <w:rPr>
          <w:rFonts w:eastAsia="Times New Roman" w:cs="Arial"/>
        </w:rPr>
        <w:tab/>
        <w:t>Location map with street names and SR numbers, legend, north arrow, scale.</w:t>
      </w:r>
    </w:p>
    <w:p w:rsidR="00B71988" w:rsidRPr="00A73737" w:rsidRDefault="00B71988" w:rsidP="00B71988">
      <w:pPr>
        <w:spacing w:before="120" w:after="0" w:line="240" w:lineRule="auto"/>
        <w:ind w:left="1350" w:hanging="360"/>
        <w:rPr>
          <w:rFonts w:eastAsia="Times New Roman" w:cs="Arial"/>
        </w:rPr>
      </w:pPr>
      <w:r w:rsidRPr="00A73737">
        <w:rPr>
          <w:rFonts w:eastAsia="Times New Roman" w:cs="Arial"/>
        </w:rPr>
        <w:t xml:space="preserve">c. </w:t>
      </w:r>
      <w:r w:rsidRPr="00A73737">
        <w:rPr>
          <w:rFonts w:eastAsia="Times New Roman" w:cs="Arial"/>
        </w:rPr>
        <w:tab/>
        <w:t>Dimensioned property/project boundary with bearings &amp; distances.</w:t>
      </w:r>
    </w:p>
    <w:p w:rsidR="00B71988" w:rsidRPr="00B71988" w:rsidRDefault="00B71988" w:rsidP="00B71988">
      <w:pPr>
        <w:spacing w:before="120" w:after="0" w:line="240" w:lineRule="auto"/>
        <w:ind w:left="1350" w:hanging="360"/>
        <w:rPr>
          <w:rFonts w:eastAsia="Times New Roman" w:cs="Arial"/>
          <w:szCs w:val="20"/>
        </w:rPr>
      </w:pPr>
      <w:r w:rsidRPr="00A73737">
        <w:rPr>
          <w:rFonts w:eastAsia="Times New Roman" w:cs="Arial"/>
        </w:rPr>
        <w:t xml:space="preserve">d. </w:t>
      </w:r>
      <w:r w:rsidRPr="00A73737">
        <w:rPr>
          <w:rFonts w:eastAsia="Times New Roman" w:cs="Arial"/>
        </w:rPr>
        <w:tab/>
        <w:t>The boundaries of all surface waters, regulatory flood zones, and protected riparian buffers or</w:t>
      </w:r>
      <w:r w:rsidRPr="00B71988">
        <w:rPr>
          <w:rFonts w:eastAsia="Times New Roman" w:cs="Arial"/>
          <w:szCs w:val="20"/>
        </w:rPr>
        <w:t xml:space="preserve"> a note on the plans that none exist. </w:t>
      </w:r>
    </w:p>
    <w:p w:rsidR="00B71988" w:rsidRPr="00B71988" w:rsidRDefault="00B71988" w:rsidP="00B71988">
      <w:pPr>
        <w:spacing w:before="120" w:after="0" w:line="240" w:lineRule="auto"/>
        <w:ind w:left="1350" w:hanging="360"/>
        <w:rPr>
          <w:rFonts w:eastAsia="Times New Roman" w:cs="Arial"/>
          <w:szCs w:val="20"/>
        </w:rPr>
      </w:pPr>
      <w:r w:rsidRPr="00B71988">
        <w:rPr>
          <w:rFonts w:eastAsia="Times New Roman" w:cs="Arial"/>
          <w:szCs w:val="20"/>
        </w:rPr>
        <w:t xml:space="preserve">e. </w:t>
      </w:r>
      <w:r w:rsidRPr="00B71988">
        <w:rPr>
          <w:rFonts w:eastAsia="Times New Roman" w:cs="Arial"/>
          <w:szCs w:val="20"/>
        </w:rPr>
        <w:tab/>
        <w:t>The boundaries of all vegetated or protected riparian buffers.</w:t>
      </w:r>
    </w:p>
    <w:p w:rsidR="00B71988" w:rsidRPr="00B71988" w:rsidRDefault="00B71988" w:rsidP="00B71988">
      <w:pPr>
        <w:spacing w:before="120" w:after="0" w:line="240" w:lineRule="auto"/>
        <w:ind w:left="1350" w:hanging="360"/>
        <w:rPr>
          <w:rFonts w:eastAsia="Times New Roman" w:cs="Arial"/>
          <w:szCs w:val="20"/>
        </w:rPr>
      </w:pPr>
      <w:r w:rsidRPr="00B71988">
        <w:rPr>
          <w:rFonts w:eastAsia="Times New Roman" w:cs="Arial"/>
          <w:szCs w:val="20"/>
        </w:rPr>
        <w:t xml:space="preserve">f. </w:t>
      </w:r>
      <w:r w:rsidRPr="00B71988">
        <w:rPr>
          <w:rFonts w:eastAsia="Times New Roman" w:cs="Arial"/>
          <w:szCs w:val="20"/>
        </w:rPr>
        <w:tab/>
        <w:t>Site layout showing all built-upon areas, drainage features, stormwater collection systems (inlets, outlets, swales, pipe elevations, slopes and diameters), and SCMs at ultimate build-out.</w:t>
      </w:r>
    </w:p>
    <w:p w:rsidR="00B71988" w:rsidRPr="00B71988" w:rsidRDefault="00B71988" w:rsidP="00B71988">
      <w:pPr>
        <w:spacing w:before="120" w:after="0" w:line="240" w:lineRule="auto"/>
        <w:ind w:left="1350" w:hanging="360"/>
        <w:rPr>
          <w:rFonts w:eastAsia="Times New Roman" w:cs="Arial"/>
          <w:szCs w:val="20"/>
        </w:rPr>
      </w:pPr>
      <w:r w:rsidRPr="00B71988">
        <w:rPr>
          <w:rFonts w:eastAsia="Times New Roman" w:cs="Arial"/>
          <w:szCs w:val="20"/>
        </w:rPr>
        <w:t xml:space="preserve">g. </w:t>
      </w:r>
      <w:r w:rsidRPr="00B71988">
        <w:rPr>
          <w:rFonts w:eastAsia="Times New Roman" w:cs="Arial"/>
          <w:szCs w:val="20"/>
        </w:rPr>
        <w:tab/>
        <w:t xml:space="preserve">Existing contours, proposed contours, spot elevations, and finished floor elevations. </w:t>
      </w:r>
    </w:p>
    <w:p w:rsidR="00B71988" w:rsidRPr="00B71988" w:rsidRDefault="00B71988" w:rsidP="00B71988">
      <w:pPr>
        <w:spacing w:before="120" w:after="0" w:line="240" w:lineRule="auto"/>
        <w:ind w:left="1350" w:hanging="360"/>
        <w:rPr>
          <w:rFonts w:eastAsia="Times New Roman" w:cs="Arial"/>
          <w:szCs w:val="20"/>
        </w:rPr>
      </w:pPr>
      <w:r w:rsidRPr="00B71988">
        <w:rPr>
          <w:rFonts w:eastAsia="Times New Roman" w:cs="Arial"/>
          <w:szCs w:val="20"/>
        </w:rPr>
        <w:t xml:space="preserve">h. </w:t>
      </w:r>
      <w:r w:rsidRPr="00B71988">
        <w:rPr>
          <w:rFonts w:eastAsia="Times New Roman" w:cs="Arial"/>
          <w:szCs w:val="20"/>
        </w:rPr>
        <w:tab/>
        <w:t>Existing drainage (including off-site), drainage easements, pipe sizes, runoff calculations.</w:t>
      </w:r>
    </w:p>
    <w:p w:rsidR="00B71988" w:rsidRPr="00B71988" w:rsidRDefault="00B71988" w:rsidP="00B71988">
      <w:pPr>
        <w:spacing w:before="120" w:after="0" w:line="240" w:lineRule="auto"/>
        <w:ind w:left="1350" w:hanging="360"/>
        <w:rPr>
          <w:rFonts w:eastAsia="Times New Roman" w:cs="Arial"/>
          <w:szCs w:val="20"/>
        </w:rPr>
      </w:pPr>
      <w:proofErr w:type="spellStart"/>
      <w:r w:rsidRPr="00B71988">
        <w:rPr>
          <w:rFonts w:eastAsia="Times New Roman" w:cs="Arial"/>
          <w:szCs w:val="20"/>
        </w:rPr>
        <w:lastRenderedPageBreak/>
        <w:t>i</w:t>
      </w:r>
      <w:proofErr w:type="spellEnd"/>
      <w:r w:rsidRPr="00B71988">
        <w:rPr>
          <w:rFonts w:eastAsia="Times New Roman" w:cs="Arial"/>
          <w:szCs w:val="20"/>
        </w:rPr>
        <w:t xml:space="preserve">. </w:t>
      </w:r>
      <w:r w:rsidRPr="00B71988">
        <w:rPr>
          <w:rFonts w:eastAsia="Times New Roman" w:cs="Arial"/>
          <w:szCs w:val="20"/>
        </w:rPr>
        <w:tab/>
        <w:t>Drainage area boundaries (included in the main set of plans, not as a separate document).</w:t>
      </w:r>
    </w:p>
    <w:p w:rsidR="00B71988" w:rsidRPr="00B71988" w:rsidRDefault="00B71988" w:rsidP="00B71988">
      <w:pPr>
        <w:spacing w:before="120" w:after="0" w:line="240" w:lineRule="auto"/>
        <w:ind w:left="1350" w:hanging="360"/>
        <w:rPr>
          <w:rFonts w:eastAsia="Times New Roman" w:cs="Arial"/>
          <w:szCs w:val="20"/>
        </w:rPr>
      </w:pPr>
      <w:r w:rsidRPr="00B71988">
        <w:rPr>
          <w:rFonts w:eastAsia="Times New Roman" w:cs="Arial"/>
          <w:szCs w:val="20"/>
        </w:rPr>
        <w:t xml:space="preserve">j. </w:t>
      </w:r>
      <w:r w:rsidRPr="00B71988">
        <w:rPr>
          <w:rFonts w:eastAsia="Times New Roman" w:cs="Arial"/>
          <w:szCs w:val="20"/>
        </w:rPr>
        <w:tab/>
        <w:t>Existing and proposed maintenance access routes, utility easements, drainage easements, public rights-of-way etc.</w:t>
      </w:r>
    </w:p>
    <w:p w:rsidR="00B71988" w:rsidRPr="00B71988" w:rsidRDefault="00B71988" w:rsidP="00B71988">
      <w:pPr>
        <w:spacing w:before="120" w:after="0" w:line="240" w:lineRule="auto"/>
        <w:ind w:left="1350" w:hanging="360"/>
        <w:rPr>
          <w:rFonts w:eastAsia="Times New Roman" w:cs="Arial"/>
          <w:szCs w:val="20"/>
        </w:rPr>
      </w:pPr>
      <w:r w:rsidRPr="00B71988">
        <w:rPr>
          <w:rFonts w:eastAsia="Times New Roman" w:cs="Arial"/>
          <w:szCs w:val="20"/>
        </w:rPr>
        <w:t xml:space="preserve">k. </w:t>
      </w:r>
      <w:r w:rsidRPr="00B71988">
        <w:rPr>
          <w:rFonts w:eastAsia="Times New Roman" w:cs="Arial"/>
          <w:szCs w:val="20"/>
        </w:rPr>
        <w:tab/>
        <w:t>A construction sequence that shows how the SCMs will be protected from sediment until the entire drainage area is stabilized.</w:t>
      </w:r>
    </w:p>
    <w:p w:rsidR="00B71988" w:rsidRPr="00B71988" w:rsidRDefault="00B71988" w:rsidP="00B71988">
      <w:pPr>
        <w:pStyle w:val="ListParagraph"/>
        <w:numPr>
          <w:ilvl w:val="0"/>
          <w:numId w:val="1"/>
        </w:numPr>
        <w:tabs>
          <w:tab w:val="left" w:pos="810"/>
        </w:tabs>
        <w:spacing w:before="120" w:after="0" w:line="240" w:lineRule="auto"/>
        <w:contextualSpacing w:val="0"/>
        <w:rPr>
          <w:rFonts w:eastAsia="Times New Roman" w:cs="Arial"/>
          <w:szCs w:val="20"/>
        </w:rPr>
      </w:pPr>
      <w:r w:rsidRPr="00B71988">
        <w:rPr>
          <w:rFonts w:eastAsia="Times New Roman" w:cs="Arial"/>
          <w:szCs w:val="20"/>
        </w:rPr>
        <w:t>Sealed, signed, &amp; dated full-sized plan details of each SCM (or typical if appropriate) in both plan view and cross-section at a scale of 1" = 30' or larger, including:</w:t>
      </w:r>
    </w:p>
    <w:p w:rsidR="00B71988" w:rsidRPr="00B71988" w:rsidRDefault="00B71988" w:rsidP="00B71988">
      <w:pPr>
        <w:tabs>
          <w:tab w:val="left" w:pos="810"/>
        </w:tabs>
        <w:spacing w:before="120" w:after="0" w:line="240" w:lineRule="auto"/>
        <w:ind w:left="1350" w:hanging="360"/>
        <w:rPr>
          <w:rFonts w:eastAsia="Times New Roman" w:cs="Arial"/>
          <w:szCs w:val="20"/>
        </w:rPr>
      </w:pPr>
      <w:r w:rsidRPr="00B71988">
        <w:rPr>
          <w:rFonts w:eastAsia="Times New Roman" w:cs="Arial"/>
          <w:szCs w:val="20"/>
        </w:rPr>
        <w:t xml:space="preserve">a. </w:t>
      </w:r>
      <w:r w:rsidRPr="00B71988">
        <w:rPr>
          <w:rFonts w:eastAsia="Times New Roman" w:cs="Arial"/>
          <w:szCs w:val="20"/>
        </w:rPr>
        <w:tab/>
        <w:t xml:space="preserve">Dimensions, side slopes, length to width ratios and elevations with a benchmark for clean-out if appropriate. </w:t>
      </w:r>
    </w:p>
    <w:p w:rsidR="00B71988" w:rsidRPr="00B71988" w:rsidRDefault="00B71988" w:rsidP="00B71988">
      <w:pPr>
        <w:tabs>
          <w:tab w:val="left" w:pos="810"/>
        </w:tabs>
        <w:spacing w:before="120" w:after="0" w:line="240" w:lineRule="auto"/>
        <w:ind w:left="1350" w:hanging="360"/>
        <w:rPr>
          <w:rFonts w:eastAsia="Times New Roman" w:cs="Arial"/>
          <w:szCs w:val="20"/>
        </w:rPr>
      </w:pPr>
      <w:r w:rsidRPr="00B71988">
        <w:rPr>
          <w:rFonts w:eastAsia="Times New Roman" w:cs="Arial"/>
          <w:szCs w:val="20"/>
        </w:rPr>
        <w:t xml:space="preserve">b. </w:t>
      </w:r>
      <w:r w:rsidRPr="00B71988">
        <w:rPr>
          <w:rFonts w:eastAsia="Times New Roman" w:cs="Arial"/>
          <w:szCs w:val="20"/>
        </w:rPr>
        <w:tab/>
        <w:t>All applicable conveyance devices, including:  bypass structure, pretreatment area, flow distribution device, underdrains, outlet device, outlet dissipater and level spreader.</w:t>
      </w:r>
    </w:p>
    <w:p w:rsidR="00B71988" w:rsidRPr="00B71988" w:rsidRDefault="00B71988" w:rsidP="00B71988">
      <w:pPr>
        <w:tabs>
          <w:tab w:val="left" w:pos="810"/>
        </w:tabs>
        <w:spacing w:before="120" w:after="0" w:line="240" w:lineRule="auto"/>
        <w:ind w:left="1350" w:hanging="360"/>
        <w:rPr>
          <w:rFonts w:eastAsia="Times New Roman" w:cs="Arial"/>
          <w:szCs w:val="20"/>
        </w:rPr>
      </w:pPr>
      <w:r w:rsidRPr="00B71988">
        <w:rPr>
          <w:rFonts w:eastAsia="Times New Roman" w:cs="Arial"/>
          <w:szCs w:val="20"/>
        </w:rPr>
        <w:t xml:space="preserve">c. </w:t>
      </w:r>
      <w:r w:rsidRPr="00B71988">
        <w:rPr>
          <w:rFonts w:eastAsia="Times New Roman" w:cs="Arial"/>
          <w:szCs w:val="20"/>
        </w:rPr>
        <w:tab/>
        <w:t>A table of elevations, incremental volumes and accumulated volumes (if applicable).</w:t>
      </w:r>
    </w:p>
    <w:p w:rsidR="00B71988" w:rsidRPr="00B71988" w:rsidRDefault="00B71988" w:rsidP="00B71988">
      <w:pPr>
        <w:tabs>
          <w:tab w:val="left" w:pos="810"/>
        </w:tabs>
        <w:spacing w:before="120" w:after="0" w:line="240" w:lineRule="auto"/>
        <w:ind w:left="1350" w:hanging="360"/>
        <w:rPr>
          <w:rFonts w:eastAsia="Times New Roman" w:cs="Arial"/>
          <w:szCs w:val="20"/>
        </w:rPr>
      </w:pPr>
      <w:r w:rsidRPr="00B71988">
        <w:rPr>
          <w:rFonts w:eastAsia="Times New Roman" w:cs="Arial"/>
          <w:szCs w:val="20"/>
        </w:rPr>
        <w:t xml:space="preserve">d. </w:t>
      </w:r>
      <w:r w:rsidRPr="00B71988">
        <w:rPr>
          <w:rFonts w:eastAsia="Times New Roman" w:cs="Arial"/>
          <w:szCs w:val="20"/>
        </w:rPr>
        <w:tab/>
        <w:t>Specifications for applicable materials, such as planting media, aggregate, sod, underdrains, outlet devices, etc.</w:t>
      </w:r>
    </w:p>
    <w:p w:rsidR="00B71988" w:rsidRPr="00B71988" w:rsidRDefault="00B71988" w:rsidP="00B71988">
      <w:pPr>
        <w:pStyle w:val="ListParagraph"/>
        <w:numPr>
          <w:ilvl w:val="0"/>
          <w:numId w:val="1"/>
        </w:numPr>
        <w:tabs>
          <w:tab w:val="left" w:pos="810"/>
        </w:tabs>
        <w:spacing w:before="120" w:after="0" w:line="240" w:lineRule="auto"/>
        <w:contextualSpacing w:val="0"/>
        <w:rPr>
          <w:rFonts w:eastAsia="Times New Roman" w:cs="Arial"/>
          <w:szCs w:val="20"/>
        </w:rPr>
      </w:pPr>
      <w:r w:rsidRPr="00B71988">
        <w:rPr>
          <w:rFonts w:eastAsia="Times New Roman" w:cs="Arial"/>
          <w:szCs w:val="20"/>
        </w:rPr>
        <w:t>Sealed, signed, &amp; dated landscaping plans for each wet pond, stormwater wetland and bioretention cell (or typical) at a scale of 1" = 20' or larger, including</w:t>
      </w:r>
      <w:r w:rsidRPr="00B71988">
        <w:rPr>
          <w:rFonts w:cs="Arial"/>
          <w:szCs w:val="20"/>
        </w:rPr>
        <w:t>:</w:t>
      </w:r>
    </w:p>
    <w:p w:rsidR="00B71988" w:rsidRPr="00B71988" w:rsidRDefault="00B71988" w:rsidP="00B71988">
      <w:pPr>
        <w:pStyle w:val="ListParagraph"/>
        <w:numPr>
          <w:ilvl w:val="0"/>
          <w:numId w:val="5"/>
        </w:numPr>
        <w:autoSpaceDE w:val="0"/>
        <w:autoSpaceDN w:val="0"/>
        <w:adjustRightInd w:val="0"/>
        <w:spacing w:before="120" w:after="0" w:line="240" w:lineRule="auto"/>
        <w:ind w:left="1350"/>
        <w:contextualSpacing w:val="0"/>
        <w:rPr>
          <w:rFonts w:cs="Arial"/>
          <w:szCs w:val="20"/>
        </w:rPr>
      </w:pPr>
      <w:r w:rsidRPr="00B71988">
        <w:rPr>
          <w:rFonts w:cs="Arial"/>
          <w:szCs w:val="20"/>
        </w:rPr>
        <w:t>Delineation of planting zones (for stormwater wetlands only);</w:t>
      </w:r>
    </w:p>
    <w:p w:rsidR="00B71988" w:rsidRPr="00B71988" w:rsidRDefault="00B71988" w:rsidP="00B71988">
      <w:pPr>
        <w:pStyle w:val="ListParagraph"/>
        <w:numPr>
          <w:ilvl w:val="0"/>
          <w:numId w:val="5"/>
        </w:numPr>
        <w:autoSpaceDE w:val="0"/>
        <w:autoSpaceDN w:val="0"/>
        <w:adjustRightInd w:val="0"/>
        <w:spacing w:before="120" w:after="0" w:line="240" w:lineRule="auto"/>
        <w:ind w:left="1350"/>
        <w:contextualSpacing w:val="0"/>
        <w:rPr>
          <w:rFonts w:cs="Arial"/>
          <w:szCs w:val="20"/>
        </w:rPr>
      </w:pPr>
      <w:r w:rsidRPr="00B71988">
        <w:rPr>
          <w:rFonts w:cs="Arial"/>
          <w:szCs w:val="20"/>
        </w:rPr>
        <w:t>Plant layout with species names and locations; and</w:t>
      </w:r>
    </w:p>
    <w:p w:rsidR="00B71988" w:rsidRPr="00B71988" w:rsidRDefault="00B71988" w:rsidP="00B71988">
      <w:pPr>
        <w:pStyle w:val="ListParagraph"/>
        <w:numPr>
          <w:ilvl w:val="0"/>
          <w:numId w:val="5"/>
        </w:numPr>
        <w:spacing w:before="120" w:after="0" w:line="240" w:lineRule="auto"/>
        <w:ind w:left="1350"/>
        <w:contextualSpacing w:val="0"/>
        <w:rPr>
          <w:rFonts w:cs="Arial"/>
          <w:szCs w:val="20"/>
        </w:rPr>
      </w:pPr>
      <w:r w:rsidRPr="00B71988">
        <w:rPr>
          <w:rFonts w:cs="Arial"/>
          <w:szCs w:val="20"/>
        </w:rPr>
        <w:t xml:space="preserve">Total number and sizes of all plant species. </w:t>
      </w:r>
    </w:p>
    <w:p w:rsidR="00B71988" w:rsidRPr="00B71988" w:rsidRDefault="00B71988" w:rsidP="00B71988">
      <w:pPr>
        <w:pStyle w:val="ListParagraph"/>
        <w:numPr>
          <w:ilvl w:val="0"/>
          <w:numId w:val="1"/>
        </w:numPr>
        <w:tabs>
          <w:tab w:val="left" w:pos="810"/>
        </w:tabs>
        <w:spacing w:before="120" w:after="0" w:line="240" w:lineRule="auto"/>
        <w:contextualSpacing w:val="0"/>
        <w:rPr>
          <w:rFonts w:eastAsia="Times New Roman" w:cs="Arial"/>
          <w:szCs w:val="20"/>
        </w:rPr>
      </w:pPr>
      <w:r w:rsidRPr="00B71988">
        <w:rPr>
          <w:rFonts w:eastAsia="Times New Roman" w:cs="Arial"/>
          <w:szCs w:val="20"/>
        </w:rPr>
        <w:t xml:space="preserve">Sealed, signed, &amp; dated soils report based on field evaluation indicating the SHWT elevations within the footprints of the proposed SCM(s). Provide a map of the boring locations with the existing elevations and boring logs. For infiltration SCMs, the report shall include the soil type, infiltration rate and method for determining the infiltration rate. </w:t>
      </w:r>
      <w:r w:rsidRPr="00B71988">
        <w:rPr>
          <w:rFonts w:eastAsia="Times New Roman" w:cs="Arial"/>
          <w:szCs w:val="20"/>
          <w:highlight w:val="yellow"/>
        </w:rPr>
        <w:t>Soils information shall be signed and sealed by a licensed soil scientist</w:t>
      </w:r>
      <w:r w:rsidRPr="00B71988">
        <w:rPr>
          <w:rFonts w:eastAsia="Times New Roman" w:cs="Arial"/>
          <w:szCs w:val="20"/>
        </w:rPr>
        <w:t xml:space="preserve">. </w:t>
      </w:r>
    </w:p>
    <w:p w:rsidR="00B71988" w:rsidRPr="00B71988" w:rsidRDefault="00B71988" w:rsidP="00B71988">
      <w:pPr>
        <w:pStyle w:val="ListParagraph"/>
        <w:numPr>
          <w:ilvl w:val="0"/>
          <w:numId w:val="1"/>
        </w:numPr>
        <w:tabs>
          <w:tab w:val="left" w:pos="810"/>
        </w:tabs>
        <w:spacing w:before="120" w:after="0" w:line="240" w:lineRule="auto"/>
        <w:contextualSpacing w:val="0"/>
        <w:rPr>
          <w:rFonts w:eastAsia="Times New Roman" w:cs="Arial"/>
          <w:szCs w:val="20"/>
        </w:rPr>
      </w:pPr>
      <w:r w:rsidRPr="00B71988">
        <w:rPr>
          <w:rFonts w:eastAsia="Times New Roman" w:cs="Arial"/>
          <w:szCs w:val="20"/>
        </w:rPr>
        <w:t>A copy of the signed and notarized operation and maintenance (O &amp; M) agreement.</w:t>
      </w:r>
    </w:p>
    <w:p w:rsidR="00B71988" w:rsidRPr="00B71988" w:rsidRDefault="00B71988" w:rsidP="00B71988">
      <w:pPr>
        <w:pStyle w:val="ListParagraph"/>
        <w:numPr>
          <w:ilvl w:val="0"/>
          <w:numId w:val="1"/>
        </w:numPr>
        <w:tabs>
          <w:tab w:val="left" w:pos="810"/>
        </w:tabs>
        <w:spacing w:before="120" w:after="0" w:line="240" w:lineRule="auto"/>
        <w:contextualSpacing w:val="0"/>
        <w:rPr>
          <w:rFonts w:eastAsia="Times New Roman" w:cs="Arial"/>
          <w:szCs w:val="20"/>
        </w:rPr>
      </w:pPr>
      <w:r w:rsidRPr="00B71988">
        <w:rPr>
          <w:rFonts w:eastAsia="Times New Roman" w:cs="Arial"/>
          <w:szCs w:val="20"/>
        </w:rPr>
        <w:t>A copy of the proposed deed restrictions protecting the SCMs and limiting the built-upon area so that it does not exceed the capacity of the SCM(s) or the high density threshold (as applicable).</w:t>
      </w:r>
    </w:p>
    <w:p w:rsidR="00B71988" w:rsidRPr="00B71988" w:rsidRDefault="00B71988" w:rsidP="00B71988">
      <w:pPr>
        <w:pStyle w:val="ListParagraph"/>
        <w:numPr>
          <w:ilvl w:val="0"/>
          <w:numId w:val="1"/>
        </w:numPr>
        <w:tabs>
          <w:tab w:val="left" w:pos="810"/>
        </w:tabs>
        <w:spacing w:before="120" w:after="0" w:line="240" w:lineRule="auto"/>
        <w:contextualSpacing w:val="0"/>
        <w:rPr>
          <w:rFonts w:eastAsia="Times New Roman" w:cs="Arial"/>
          <w:szCs w:val="20"/>
        </w:rPr>
      </w:pPr>
      <w:r w:rsidRPr="00B71988">
        <w:rPr>
          <w:rFonts w:eastAsia="Times New Roman" w:cs="Arial"/>
          <w:szCs w:val="20"/>
        </w:rPr>
        <w:t>For corporations and limited liability corporations (LLC): Documentation from the NC Secretary of State or other official documentation, which supports the titles and positions held by the persons listed in the Contact Information section. The corporation or LLC must be listed as an active corporation in good standing with the NC Secretary of State, otherwise the application will be returned.</w:t>
      </w:r>
    </w:p>
    <w:p w:rsidR="00B71988" w:rsidRPr="00B71988" w:rsidRDefault="00B71988" w:rsidP="00B71988">
      <w:pPr>
        <w:pStyle w:val="ListParagraph"/>
        <w:numPr>
          <w:ilvl w:val="0"/>
          <w:numId w:val="1"/>
        </w:numPr>
        <w:tabs>
          <w:tab w:val="left" w:pos="810"/>
        </w:tabs>
        <w:spacing w:before="120" w:after="0" w:line="240" w:lineRule="auto"/>
        <w:contextualSpacing w:val="0"/>
        <w:rPr>
          <w:rFonts w:eastAsia="Times New Roman" w:cs="Arial"/>
          <w:szCs w:val="20"/>
        </w:rPr>
      </w:pPr>
      <w:r w:rsidRPr="00B71988">
        <w:rPr>
          <w:rFonts w:eastAsia="Times New Roman" w:cs="Arial"/>
          <w:szCs w:val="20"/>
        </w:rPr>
        <w:t>A copy of the lease agreement or pending sales agreement if applicable.</w:t>
      </w:r>
    </w:p>
    <w:p w:rsidR="00B71988" w:rsidRPr="00B71988" w:rsidRDefault="00B71988" w:rsidP="00B71988">
      <w:pPr>
        <w:pStyle w:val="ListParagraph"/>
        <w:numPr>
          <w:ilvl w:val="0"/>
          <w:numId w:val="1"/>
        </w:numPr>
        <w:tabs>
          <w:tab w:val="left" w:pos="810"/>
        </w:tabs>
        <w:spacing w:before="120" w:after="0" w:line="240" w:lineRule="auto"/>
        <w:contextualSpacing w:val="0"/>
        <w:rPr>
          <w:rFonts w:eastAsia="Times New Roman" w:cs="Arial"/>
          <w:szCs w:val="20"/>
        </w:rPr>
      </w:pPr>
      <w:r w:rsidRPr="00B71988">
        <w:rPr>
          <w:rFonts w:eastAsia="Times New Roman" w:cs="Arial"/>
          <w:szCs w:val="20"/>
        </w:rPr>
        <w:t xml:space="preserve">A </w:t>
      </w:r>
      <w:r w:rsidRPr="00B71988">
        <w:rPr>
          <w:rFonts w:cs="Arial"/>
          <w:szCs w:val="20"/>
        </w:rPr>
        <w:t xml:space="preserve">Financial Responsibility/Ownership Form. </w:t>
      </w:r>
    </w:p>
    <w:p w:rsidR="00B71988" w:rsidRPr="00B71988" w:rsidRDefault="00B71988" w:rsidP="00B71988">
      <w:pPr>
        <w:pStyle w:val="ListParagraph"/>
        <w:numPr>
          <w:ilvl w:val="0"/>
          <w:numId w:val="1"/>
        </w:numPr>
        <w:tabs>
          <w:tab w:val="left" w:pos="810"/>
        </w:tabs>
        <w:spacing w:before="120" w:after="0" w:line="240" w:lineRule="auto"/>
        <w:contextualSpacing w:val="0"/>
        <w:rPr>
          <w:rFonts w:eastAsia="Times New Roman" w:cs="Arial"/>
          <w:szCs w:val="20"/>
        </w:rPr>
      </w:pPr>
      <w:r w:rsidRPr="00B71988">
        <w:rPr>
          <w:sz w:val="24"/>
        </w:rPr>
        <w:t xml:space="preserve">A </w:t>
      </w:r>
      <w:r w:rsidRPr="00B71988">
        <w:rPr>
          <w:rFonts w:cs="Arial"/>
          <w:szCs w:val="20"/>
        </w:rPr>
        <w:t xml:space="preserve">performance security or bond with surety, cash escrow, letter of credit or other acceptable legal arrangement prior to issuance of a permit in order to ensure that the SCMs are installed by the permit holder as required by the approved </w:t>
      </w:r>
      <w:smartTag w:uri="urn:schemas-microsoft-com:office:smarttags" w:element="PersonName">
        <w:r w:rsidRPr="00B71988">
          <w:rPr>
            <w:rFonts w:cs="Arial"/>
            <w:szCs w:val="20"/>
          </w:rPr>
          <w:t>stormwater</w:t>
        </w:r>
      </w:smartTag>
      <w:r w:rsidRPr="00B71988">
        <w:rPr>
          <w:rFonts w:cs="Arial"/>
          <w:szCs w:val="20"/>
        </w:rPr>
        <w:t xml:space="preserve"> management plan</w:t>
      </w:r>
      <w:r w:rsidRPr="00B71988">
        <w:rPr>
          <w:rFonts w:cs="Arial"/>
          <w:b/>
          <w:szCs w:val="20"/>
        </w:rPr>
        <w:t>,</w:t>
      </w:r>
      <w:r w:rsidRPr="00B71988">
        <w:rPr>
          <w:rFonts w:cs="Arial"/>
          <w:szCs w:val="20"/>
        </w:rPr>
        <w:t xml:space="preserve"> and maintained by the </w:t>
      </w:r>
      <w:r w:rsidRPr="00B71988">
        <w:rPr>
          <w:rFonts w:cs="Arial"/>
          <w:i/>
          <w:szCs w:val="20"/>
        </w:rPr>
        <w:t>owner</w:t>
      </w:r>
      <w:r w:rsidRPr="00B71988">
        <w:rPr>
          <w:rFonts w:cs="Arial"/>
          <w:szCs w:val="20"/>
        </w:rPr>
        <w:t xml:space="preserve"> as required by the operation and maintenance agreement.  The amount shall be:</w:t>
      </w:r>
    </w:p>
    <w:p w:rsidR="00B71988" w:rsidRPr="00B71988" w:rsidRDefault="00B71988" w:rsidP="00B71988">
      <w:pPr>
        <w:pStyle w:val="MOHeading3"/>
        <w:numPr>
          <w:ilvl w:val="1"/>
          <w:numId w:val="4"/>
        </w:numPr>
        <w:spacing w:before="120"/>
        <w:rPr>
          <w:rFonts w:asciiTheme="minorHAnsi" w:hAnsiTheme="minorHAnsi"/>
          <w:b w:val="0"/>
          <w:szCs w:val="20"/>
        </w:rPr>
      </w:pPr>
      <w:bookmarkStart w:id="1" w:name="_Toc152658555"/>
      <w:r w:rsidRPr="00B71988">
        <w:rPr>
          <w:rFonts w:asciiTheme="minorHAnsi" w:hAnsiTheme="minorHAnsi"/>
          <w:b w:val="0"/>
          <w:szCs w:val="20"/>
          <w:u w:val="single"/>
        </w:rPr>
        <w:lastRenderedPageBreak/>
        <w:t>Installation</w:t>
      </w:r>
      <w:bookmarkEnd w:id="1"/>
      <w:r w:rsidRPr="00B71988">
        <w:rPr>
          <w:rFonts w:asciiTheme="minorHAnsi" w:hAnsiTheme="minorHAnsi"/>
          <w:b w:val="0"/>
          <w:szCs w:val="20"/>
        </w:rPr>
        <w:t>:  The amount of an installation performance security shall be the total estimated construction cost of the BMPs approved under the permit, plus 25%.</w:t>
      </w:r>
    </w:p>
    <w:p w:rsidR="00B71988" w:rsidRPr="00B71988" w:rsidRDefault="00B71988" w:rsidP="00B71988">
      <w:pPr>
        <w:pStyle w:val="MOHeading3"/>
        <w:numPr>
          <w:ilvl w:val="1"/>
          <w:numId w:val="4"/>
        </w:numPr>
        <w:spacing w:before="120"/>
        <w:rPr>
          <w:rFonts w:asciiTheme="minorHAnsi" w:hAnsiTheme="minorHAnsi"/>
          <w:b w:val="0"/>
          <w:szCs w:val="20"/>
        </w:rPr>
      </w:pPr>
      <w:bookmarkStart w:id="2" w:name="_Toc152658556"/>
      <w:r w:rsidRPr="00B71988">
        <w:rPr>
          <w:rFonts w:asciiTheme="minorHAnsi" w:hAnsiTheme="minorHAnsi"/>
          <w:b w:val="0"/>
          <w:szCs w:val="20"/>
          <w:u w:val="single"/>
        </w:rPr>
        <w:t>Maintenance</w:t>
      </w:r>
      <w:bookmarkEnd w:id="2"/>
      <w:r w:rsidRPr="00B71988">
        <w:rPr>
          <w:rFonts w:asciiTheme="minorHAnsi" w:hAnsiTheme="minorHAnsi"/>
          <w:b w:val="0"/>
          <w:szCs w:val="20"/>
        </w:rPr>
        <w:t>:  The amount of a maintenance performance security shall be the present value of an annuity of perpetual duration based on a reasonable estimate of the annual cost of inspection, operation and maintenance of the BMPs approved under the permit, at a discount rate that reflects the jurisdiction’s cost of borrowing minus a reasonable estimate of long-term inflation.</w:t>
      </w:r>
    </w:p>
    <w:p w:rsidR="00B71988" w:rsidRPr="00B71988" w:rsidRDefault="00B71988" w:rsidP="00B71988">
      <w:pPr>
        <w:pStyle w:val="ListParagraph"/>
        <w:tabs>
          <w:tab w:val="left" w:pos="810"/>
        </w:tabs>
        <w:spacing w:after="0" w:line="240" w:lineRule="auto"/>
        <w:ind w:left="823"/>
        <w:rPr>
          <w:rFonts w:eastAsia="Times New Roman" w:cs="Arial"/>
          <w:szCs w:val="20"/>
        </w:rPr>
      </w:pPr>
    </w:p>
    <w:p w:rsidR="00B71988" w:rsidRPr="00B71988" w:rsidRDefault="00B71988" w:rsidP="00B71988">
      <w:pPr>
        <w:rPr>
          <w:rFonts w:cs="Arial"/>
          <w:szCs w:val="20"/>
        </w:rPr>
      </w:pPr>
    </w:p>
    <w:p w:rsidR="00B71988" w:rsidRPr="00B71988" w:rsidRDefault="00B71988" w:rsidP="00FC01A2">
      <w:pPr>
        <w:rPr>
          <w:sz w:val="24"/>
        </w:rPr>
      </w:pPr>
    </w:p>
    <w:sectPr w:rsidR="00B71988" w:rsidRPr="00B71988" w:rsidSect="00B7198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B4B"/>
    <w:multiLevelType w:val="hybridMultilevel"/>
    <w:tmpl w:val="784A1062"/>
    <w:lvl w:ilvl="0" w:tplc="4202D26C">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D5D0FD4"/>
    <w:multiLevelType w:val="hybridMultilevel"/>
    <w:tmpl w:val="C0FE7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0D3C5D"/>
    <w:multiLevelType w:val="multilevel"/>
    <w:tmpl w:val="AC082B9E"/>
    <w:lvl w:ilvl="0">
      <w:start w:val="801"/>
      <w:numFmt w:val="decimalZero"/>
      <w:pStyle w:val="MOHeading1"/>
      <w:lvlText w:val="xx-%1"/>
      <w:lvlJc w:val="left"/>
      <w:pPr>
        <w:tabs>
          <w:tab w:val="num" w:pos="720"/>
        </w:tabs>
        <w:ind w:left="720" w:hanging="720"/>
      </w:pPr>
      <w:rPr>
        <w:rFonts w:ascii="Garamond" w:hAnsi="Garamond" w:hint="default"/>
        <w:b/>
        <w:i w:val="0"/>
        <w:caps w:val="0"/>
        <w:sz w:val="20"/>
        <w:szCs w:val="20"/>
      </w:rPr>
    </w:lvl>
    <w:lvl w:ilvl="1">
      <w:start w:val="1"/>
      <w:numFmt w:val="upperLetter"/>
      <w:pStyle w:val="MOHeading2"/>
      <w:lvlText w:val="(%2)"/>
      <w:lvlJc w:val="left"/>
      <w:pPr>
        <w:tabs>
          <w:tab w:val="num" w:pos="1440"/>
        </w:tabs>
        <w:ind w:left="1440" w:hanging="720"/>
      </w:pPr>
      <w:rPr>
        <w:rFonts w:ascii="Garamond" w:hAnsi="Garamond" w:hint="default"/>
        <w:b/>
        <w:i w:val="0"/>
        <w:sz w:val="20"/>
        <w:szCs w:val="20"/>
      </w:rPr>
    </w:lvl>
    <w:lvl w:ilvl="2">
      <w:start w:val="1"/>
      <w:numFmt w:val="decimal"/>
      <w:pStyle w:val="MOHeading3"/>
      <w:lvlText w:val="(%3)"/>
      <w:lvlJc w:val="left"/>
      <w:pPr>
        <w:tabs>
          <w:tab w:val="num" w:pos="1800"/>
        </w:tabs>
        <w:ind w:left="1440" w:firstLine="0"/>
      </w:pPr>
      <w:rPr>
        <w:rFonts w:ascii="Garamond" w:hAnsi="Garamond" w:hint="default"/>
        <w:b/>
        <w:i w:val="0"/>
        <w:sz w:val="20"/>
        <w:szCs w:val="20"/>
      </w:rPr>
    </w:lvl>
    <w:lvl w:ilvl="3">
      <w:start w:val="1"/>
      <w:numFmt w:val="decimal"/>
      <w:pStyle w:val="MOHeading4X"/>
      <w:lvlText w:val="%4."/>
      <w:lvlJc w:val="left"/>
      <w:pPr>
        <w:tabs>
          <w:tab w:val="num" w:pos="1440"/>
        </w:tabs>
        <w:ind w:left="1440" w:hanging="720"/>
      </w:pPr>
      <w:rPr>
        <w:rFonts w:ascii="Garamond" w:hAnsi="Garamond" w:hint="default"/>
        <w:b/>
        <w:i w:val="0"/>
        <w:sz w:val="20"/>
        <w:szCs w:val="20"/>
      </w:rPr>
    </w:lvl>
    <w:lvl w:ilvl="4">
      <w:start w:val="1"/>
      <w:numFmt w:val="decimal"/>
      <w:lvlText w:val="(%5)"/>
      <w:lvlJc w:val="left"/>
      <w:pPr>
        <w:tabs>
          <w:tab w:val="num" w:pos="2160"/>
        </w:tabs>
        <w:ind w:left="2160" w:hanging="720"/>
      </w:pPr>
      <w:rPr>
        <w:rFonts w:ascii="Garamond" w:hAnsi="Garamond" w:hint="default"/>
        <w:b/>
        <w:i w:val="0"/>
        <w:sz w:val="20"/>
        <w:szCs w:val="20"/>
      </w:rPr>
    </w:lvl>
    <w:lvl w:ilvl="5">
      <w:start w:val="1"/>
      <w:numFmt w:val="decimal"/>
      <w:lvlText w:val="(%6)"/>
      <w:lvlJc w:val="left"/>
      <w:pPr>
        <w:tabs>
          <w:tab w:val="num" w:pos="2880"/>
        </w:tabs>
        <w:ind w:left="2880" w:hanging="720"/>
      </w:pPr>
      <w:rPr>
        <w:rFonts w:ascii="Garamond" w:hAnsi="Garamond" w:hint="default"/>
        <w:b w:val="0"/>
        <w:i w:val="0"/>
        <w:sz w:val="20"/>
        <w:szCs w:val="20"/>
      </w:rPr>
    </w:lvl>
    <w:lvl w:ilvl="6">
      <w:start w:val="1"/>
      <w:numFmt w:val="decimal"/>
      <w:lvlText w:val="%7."/>
      <w:lvlJc w:val="left"/>
      <w:pPr>
        <w:tabs>
          <w:tab w:val="num" w:pos="1440"/>
        </w:tabs>
        <w:ind w:left="1440" w:hanging="360"/>
      </w:pPr>
      <w:rPr>
        <w:rFonts w:ascii="Garamond" w:hAnsi="Garamond" w:hint="default"/>
        <w:b w:val="0"/>
        <w:i w:val="0"/>
        <w:sz w:val="20"/>
        <w:szCs w:val="20"/>
      </w:rPr>
    </w:lvl>
    <w:lvl w:ilvl="7">
      <w:start w:val="1"/>
      <w:numFmt w:val="lowerLetter"/>
      <w:lvlText w:val="%8."/>
      <w:lvlJc w:val="left"/>
      <w:pPr>
        <w:tabs>
          <w:tab w:val="num" w:pos="4320"/>
        </w:tabs>
        <w:ind w:left="4320" w:hanging="720"/>
      </w:pPr>
      <w:rPr>
        <w:rFonts w:ascii="Arial" w:hAnsi="Arial" w:hint="default"/>
        <w:b w:val="0"/>
        <w:i w:val="0"/>
        <w:sz w:val="20"/>
      </w:rPr>
    </w:lvl>
    <w:lvl w:ilvl="8">
      <w:start w:val="1"/>
      <w:numFmt w:val="lowerRoman"/>
      <w:lvlText w:val="%9."/>
      <w:lvlJc w:val="left"/>
      <w:pPr>
        <w:tabs>
          <w:tab w:val="num" w:pos="5040"/>
        </w:tabs>
        <w:ind w:left="5040" w:hanging="720"/>
      </w:pPr>
      <w:rPr>
        <w:rFonts w:ascii="Arial" w:hAnsi="Arial" w:hint="default"/>
        <w:b w:val="0"/>
        <w:i w:val="0"/>
        <w:sz w:val="20"/>
      </w:rPr>
    </w:lvl>
  </w:abstractNum>
  <w:abstractNum w:abstractNumId="3">
    <w:nsid w:val="4373566F"/>
    <w:multiLevelType w:val="hybridMultilevel"/>
    <w:tmpl w:val="25906FF4"/>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
    <w:nsid w:val="44832790"/>
    <w:multiLevelType w:val="hybridMultilevel"/>
    <w:tmpl w:val="316088F2"/>
    <w:lvl w:ilvl="0" w:tplc="8B363C6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638229B"/>
    <w:multiLevelType w:val="hybridMultilevel"/>
    <w:tmpl w:val="B380C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FA"/>
    <w:rsid w:val="00155A72"/>
    <w:rsid w:val="005261AB"/>
    <w:rsid w:val="006137BB"/>
    <w:rsid w:val="00754DAD"/>
    <w:rsid w:val="007B0506"/>
    <w:rsid w:val="00A73737"/>
    <w:rsid w:val="00B71988"/>
    <w:rsid w:val="00B833FA"/>
    <w:rsid w:val="00BA6B53"/>
    <w:rsid w:val="00C06498"/>
    <w:rsid w:val="00C24C7D"/>
    <w:rsid w:val="00DE066F"/>
    <w:rsid w:val="00E62F19"/>
    <w:rsid w:val="00FC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3FA"/>
    <w:pPr>
      <w:ind w:left="720"/>
      <w:contextualSpacing/>
    </w:pPr>
  </w:style>
  <w:style w:type="paragraph" w:styleId="NoSpacing">
    <w:name w:val="No Spacing"/>
    <w:uiPriority w:val="1"/>
    <w:qFormat/>
    <w:rsid w:val="00C24C7D"/>
    <w:pPr>
      <w:spacing w:after="0" w:line="240" w:lineRule="auto"/>
    </w:pPr>
  </w:style>
  <w:style w:type="paragraph" w:customStyle="1" w:styleId="Default">
    <w:name w:val="Default"/>
    <w:rsid w:val="00C24C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OHeading1">
    <w:name w:val="MO Heading 1"/>
    <w:basedOn w:val="Normal"/>
    <w:next w:val="Normal"/>
    <w:rsid w:val="00B71988"/>
    <w:pPr>
      <w:keepNext/>
      <w:keepLines/>
      <w:numPr>
        <w:numId w:val="3"/>
      </w:numPr>
      <w:spacing w:line="240" w:lineRule="auto"/>
      <w:outlineLvl w:val="0"/>
    </w:pPr>
    <w:rPr>
      <w:rFonts w:ascii="Garamond" w:eastAsia="Times New Roman" w:hAnsi="Garamond" w:cs="Times New Roman"/>
      <w:b/>
      <w:caps/>
      <w:sz w:val="20"/>
      <w:szCs w:val="20"/>
    </w:rPr>
  </w:style>
  <w:style w:type="paragraph" w:customStyle="1" w:styleId="MOHeading2">
    <w:name w:val="MO Heading 2"/>
    <w:basedOn w:val="Normal"/>
    <w:next w:val="Normal"/>
    <w:rsid w:val="00B71988"/>
    <w:pPr>
      <w:keepNext/>
      <w:numPr>
        <w:ilvl w:val="1"/>
        <w:numId w:val="3"/>
      </w:numPr>
      <w:spacing w:line="240" w:lineRule="auto"/>
      <w:outlineLvl w:val="1"/>
    </w:pPr>
    <w:rPr>
      <w:rFonts w:ascii="Garamond" w:eastAsia="Times New Roman" w:hAnsi="Garamond" w:cs="Times New Roman"/>
      <w:b/>
      <w:szCs w:val="24"/>
    </w:rPr>
  </w:style>
  <w:style w:type="paragraph" w:customStyle="1" w:styleId="MOHeading3">
    <w:name w:val="MO Heading 3"/>
    <w:basedOn w:val="Normal"/>
    <w:next w:val="Normal"/>
    <w:rsid w:val="00B71988"/>
    <w:pPr>
      <w:keepNext/>
      <w:numPr>
        <w:ilvl w:val="2"/>
        <w:numId w:val="3"/>
      </w:numPr>
      <w:spacing w:after="0" w:line="240" w:lineRule="auto"/>
      <w:outlineLvl w:val="2"/>
    </w:pPr>
    <w:rPr>
      <w:rFonts w:ascii="Garamond" w:eastAsia="Times New Roman" w:hAnsi="Garamond" w:cs="Arial"/>
      <w:b/>
      <w:bCs/>
      <w:szCs w:val="24"/>
    </w:rPr>
  </w:style>
  <w:style w:type="paragraph" w:customStyle="1" w:styleId="MOHeading4X">
    <w:name w:val="MO Heading 4X"/>
    <w:basedOn w:val="Normal"/>
    <w:rsid w:val="00B71988"/>
    <w:pPr>
      <w:numPr>
        <w:ilvl w:val="3"/>
        <w:numId w:val="3"/>
      </w:numPr>
      <w:tabs>
        <w:tab w:val="left" w:pos="3600"/>
      </w:tabs>
      <w:spacing w:after="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71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88"/>
    <w:rPr>
      <w:rFonts w:ascii="Tahoma" w:hAnsi="Tahoma" w:cs="Tahoma"/>
      <w:sz w:val="16"/>
      <w:szCs w:val="16"/>
    </w:rPr>
  </w:style>
  <w:style w:type="paragraph" w:styleId="NormalWeb">
    <w:name w:val="Normal (Web)"/>
    <w:basedOn w:val="Normal"/>
    <w:uiPriority w:val="99"/>
    <w:semiHidden/>
    <w:unhideWhenUsed/>
    <w:rsid w:val="00C0649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3FA"/>
    <w:pPr>
      <w:ind w:left="720"/>
      <w:contextualSpacing/>
    </w:pPr>
  </w:style>
  <w:style w:type="paragraph" w:styleId="NoSpacing">
    <w:name w:val="No Spacing"/>
    <w:uiPriority w:val="1"/>
    <w:qFormat/>
    <w:rsid w:val="00C24C7D"/>
    <w:pPr>
      <w:spacing w:after="0" w:line="240" w:lineRule="auto"/>
    </w:pPr>
  </w:style>
  <w:style w:type="paragraph" w:customStyle="1" w:styleId="Default">
    <w:name w:val="Default"/>
    <w:rsid w:val="00C24C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OHeading1">
    <w:name w:val="MO Heading 1"/>
    <w:basedOn w:val="Normal"/>
    <w:next w:val="Normal"/>
    <w:rsid w:val="00B71988"/>
    <w:pPr>
      <w:keepNext/>
      <w:keepLines/>
      <w:numPr>
        <w:numId w:val="3"/>
      </w:numPr>
      <w:spacing w:line="240" w:lineRule="auto"/>
      <w:outlineLvl w:val="0"/>
    </w:pPr>
    <w:rPr>
      <w:rFonts w:ascii="Garamond" w:eastAsia="Times New Roman" w:hAnsi="Garamond" w:cs="Times New Roman"/>
      <w:b/>
      <w:caps/>
      <w:sz w:val="20"/>
      <w:szCs w:val="20"/>
    </w:rPr>
  </w:style>
  <w:style w:type="paragraph" w:customStyle="1" w:styleId="MOHeading2">
    <w:name w:val="MO Heading 2"/>
    <w:basedOn w:val="Normal"/>
    <w:next w:val="Normal"/>
    <w:rsid w:val="00B71988"/>
    <w:pPr>
      <w:keepNext/>
      <w:numPr>
        <w:ilvl w:val="1"/>
        <w:numId w:val="3"/>
      </w:numPr>
      <w:spacing w:line="240" w:lineRule="auto"/>
      <w:outlineLvl w:val="1"/>
    </w:pPr>
    <w:rPr>
      <w:rFonts w:ascii="Garamond" w:eastAsia="Times New Roman" w:hAnsi="Garamond" w:cs="Times New Roman"/>
      <w:b/>
      <w:szCs w:val="24"/>
    </w:rPr>
  </w:style>
  <w:style w:type="paragraph" w:customStyle="1" w:styleId="MOHeading3">
    <w:name w:val="MO Heading 3"/>
    <w:basedOn w:val="Normal"/>
    <w:next w:val="Normal"/>
    <w:rsid w:val="00B71988"/>
    <w:pPr>
      <w:keepNext/>
      <w:numPr>
        <w:ilvl w:val="2"/>
        <w:numId w:val="3"/>
      </w:numPr>
      <w:spacing w:after="0" w:line="240" w:lineRule="auto"/>
      <w:outlineLvl w:val="2"/>
    </w:pPr>
    <w:rPr>
      <w:rFonts w:ascii="Garamond" w:eastAsia="Times New Roman" w:hAnsi="Garamond" w:cs="Arial"/>
      <w:b/>
      <w:bCs/>
      <w:szCs w:val="24"/>
    </w:rPr>
  </w:style>
  <w:style w:type="paragraph" w:customStyle="1" w:styleId="MOHeading4X">
    <w:name w:val="MO Heading 4X"/>
    <w:basedOn w:val="Normal"/>
    <w:rsid w:val="00B71988"/>
    <w:pPr>
      <w:numPr>
        <w:ilvl w:val="3"/>
        <w:numId w:val="3"/>
      </w:numPr>
      <w:tabs>
        <w:tab w:val="left" w:pos="3600"/>
      </w:tabs>
      <w:spacing w:after="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71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88"/>
    <w:rPr>
      <w:rFonts w:ascii="Tahoma" w:hAnsi="Tahoma" w:cs="Tahoma"/>
      <w:sz w:val="16"/>
      <w:szCs w:val="16"/>
    </w:rPr>
  </w:style>
  <w:style w:type="paragraph" w:styleId="NormalWeb">
    <w:name w:val="Normal (Web)"/>
    <w:basedOn w:val="Normal"/>
    <w:uiPriority w:val="99"/>
    <w:semiHidden/>
    <w:unhideWhenUsed/>
    <w:rsid w:val="00C0649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NCDENR</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2015-02-22T22:39:00Z</cp:lastPrinted>
  <dcterms:created xsi:type="dcterms:W3CDTF">2015-04-20T15:46:00Z</dcterms:created>
  <dcterms:modified xsi:type="dcterms:W3CDTF">2015-04-20T15:46:00Z</dcterms:modified>
</cp:coreProperties>
</file>