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41" w:rsidRPr="00C658B4" w:rsidRDefault="00A50041" w:rsidP="00A50041">
      <w:pPr>
        <w:spacing w:before="120"/>
        <w:jc w:val="center"/>
        <w:rPr>
          <w:rFonts w:ascii="Calibri" w:hAnsi="Calibri"/>
          <w:b/>
          <w:sz w:val="28"/>
          <w:szCs w:val="22"/>
        </w:rPr>
      </w:pPr>
      <w:r w:rsidRPr="00C658B4">
        <w:rPr>
          <w:rFonts w:ascii="Calibri" w:hAnsi="Calibri"/>
          <w:b/>
          <w:sz w:val="28"/>
          <w:szCs w:val="22"/>
        </w:rPr>
        <w:t xml:space="preserve">Potential MDC for </w:t>
      </w:r>
      <w:r>
        <w:rPr>
          <w:rFonts w:ascii="Calibri" w:hAnsi="Calibri"/>
          <w:b/>
          <w:sz w:val="28"/>
          <w:szCs w:val="22"/>
        </w:rPr>
        <w:t>Permeable Pavement</w:t>
      </w:r>
    </w:p>
    <w:p w:rsidR="00A50041" w:rsidRDefault="00A50041" w:rsidP="00A50041">
      <w:pPr>
        <w:spacing w:after="120"/>
        <w:jc w:val="center"/>
        <w:rPr>
          <w:rFonts w:ascii="Calibri" w:hAnsi="Calibri"/>
          <w:szCs w:val="22"/>
        </w:rPr>
      </w:pPr>
      <w:proofErr w:type="gramStart"/>
      <w:r>
        <w:rPr>
          <w:rFonts w:ascii="Calibri" w:hAnsi="Calibri"/>
          <w:szCs w:val="22"/>
        </w:rPr>
        <w:t>f</w:t>
      </w:r>
      <w:r w:rsidRPr="00C658B4">
        <w:rPr>
          <w:rFonts w:ascii="Calibri" w:hAnsi="Calibri"/>
          <w:szCs w:val="22"/>
        </w:rPr>
        <w:t>or</w:t>
      </w:r>
      <w:proofErr w:type="gramEnd"/>
      <w:r w:rsidRPr="00C658B4">
        <w:rPr>
          <w:rFonts w:ascii="Calibri" w:hAnsi="Calibri"/>
          <w:szCs w:val="22"/>
        </w:rPr>
        <w:t xml:space="preserve"> </w:t>
      </w:r>
      <w:r>
        <w:rPr>
          <w:rFonts w:ascii="Calibri" w:hAnsi="Calibri"/>
          <w:szCs w:val="22"/>
        </w:rPr>
        <w:t xml:space="preserve">MDC Team discussion on January </w:t>
      </w:r>
      <w:r w:rsidRPr="00C658B4">
        <w:rPr>
          <w:rFonts w:ascii="Calibri" w:hAnsi="Calibri"/>
          <w:szCs w:val="22"/>
        </w:rPr>
        <w:t>2</w:t>
      </w:r>
      <w:r>
        <w:rPr>
          <w:rFonts w:ascii="Calibri" w:hAnsi="Calibri"/>
          <w:szCs w:val="22"/>
        </w:rPr>
        <w:t>6</w:t>
      </w:r>
      <w:r w:rsidRPr="00C658B4">
        <w:rPr>
          <w:rFonts w:ascii="Calibri" w:hAnsi="Calibri"/>
          <w:szCs w:val="22"/>
        </w:rPr>
        <w:t>, 2015</w:t>
      </w:r>
    </w:p>
    <w:p w:rsidR="004C6BC8" w:rsidRDefault="004C6BC8" w:rsidP="00A50041">
      <w:pPr>
        <w:spacing w:after="120"/>
        <w:jc w:val="center"/>
        <w:rPr>
          <w:rFonts w:ascii="Calibri" w:hAnsi="Calibri"/>
          <w:szCs w:val="22"/>
        </w:rPr>
      </w:pPr>
      <w:r>
        <w:rPr>
          <w:rFonts w:ascii="Calibri" w:hAnsi="Calibri"/>
          <w:szCs w:val="22"/>
        </w:rPr>
        <w:t>(</w:t>
      </w:r>
      <w:r w:rsidRPr="004C6BC8">
        <w:rPr>
          <w:rFonts w:ascii="Calibri" w:hAnsi="Calibri"/>
          <w:color w:val="0000CC"/>
          <w:szCs w:val="22"/>
        </w:rPr>
        <w:t>Blue font = from Agreed-Upon Infiltration MDC</w:t>
      </w:r>
      <w:r>
        <w:rPr>
          <w:rFonts w:ascii="Calibri" w:hAnsi="Calibri"/>
          <w:szCs w:val="22"/>
        </w:rPr>
        <w:t>)</w:t>
      </w:r>
    </w:p>
    <w:p w:rsidR="00B44911" w:rsidRDefault="00B44911" w:rsidP="00B44911">
      <w:pPr>
        <w:pStyle w:val="BodyText"/>
        <w:tabs>
          <w:tab w:val="left" w:pos="599"/>
        </w:tabs>
        <w:spacing w:after="120"/>
        <w:ind w:left="108"/>
        <w:jc w:val="center"/>
        <w:rPr>
          <w:sz w:val="21"/>
          <w:szCs w:val="21"/>
        </w:rPr>
      </w:pPr>
    </w:p>
    <w:p w:rsidR="00B44911" w:rsidRPr="00A50041" w:rsidRDefault="00B44911" w:rsidP="00A50041">
      <w:pPr>
        <w:pStyle w:val="BodyText"/>
        <w:tabs>
          <w:tab w:val="left" w:pos="599"/>
        </w:tabs>
        <w:spacing w:after="120"/>
        <w:ind w:left="108"/>
        <w:rPr>
          <w:rFonts w:asciiTheme="minorHAnsi" w:hAnsiTheme="minorHAnsi"/>
          <w:sz w:val="24"/>
          <w:szCs w:val="24"/>
        </w:rPr>
      </w:pPr>
    </w:p>
    <w:p w:rsidR="00EE2FA3" w:rsidRPr="00A50041" w:rsidRDefault="00EE2FA3" w:rsidP="00AF1B21">
      <w:pPr>
        <w:pStyle w:val="BodyText"/>
        <w:tabs>
          <w:tab w:val="left" w:pos="599"/>
        </w:tabs>
        <w:ind w:left="630" w:hanging="450"/>
        <w:rPr>
          <w:rFonts w:asciiTheme="minorHAnsi" w:hAnsiTheme="minorHAnsi"/>
          <w:sz w:val="24"/>
          <w:szCs w:val="24"/>
        </w:rPr>
      </w:pPr>
      <w:r w:rsidRPr="00A50041">
        <w:rPr>
          <w:rFonts w:asciiTheme="minorHAnsi" w:hAnsiTheme="minorHAnsi"/>
          <w:sz w:val="24"/>
          <w:szCs w:val="24"/>
        </w:rPr>
        <w:t>1.</w:t>
      </w:r>
      <w:r w:rsidR="00271A33">
        <w:rPr>
          <w:rFonts w:asciiTheme="minorHAnsi" w:hAnsiTheme="minorHAnsi"/>
          <w:sz w:val="24"/>
          <w:szCs w:val="24"/>
        </w:rPr>
        <w:t xml:space="preserve">  </w:t>
      </w:r>
      <w:r w:rsidR="00AF1B21">
        <w:rPr>
          <w:rFonts w:asciiTheme="minorHAnsi" w:hAnsiTheme="minorHAnsi"/>
          <w:sz w:val="24"/>
          <w:szCs w:val="24"/>
        </w:rPr>
        <w:tab/>
      </w:r>
      <w:r w:rsidR="00271A33">
        <w:rPr>
          <w:rFonts w:asciiTheme="minorHAnsi" w:hAnsiTheme="minorHAnsi"/>
          <w:sz w:val="24"/>
          <w:szCs w:val="24"/>
        </w:rPr>
        <w:t xml:space="preserve">SITING.  </w:t>
      </w:r>
      <w:r w:rsidRPr="00A50041">
        <w:rPr>
          <w:rFonts w:asciiTheme="minorHAnsi" w:hAnsiTheme="minorHAnsi"/>
          <w:sz w:val="24"/>
          <w:szCs w:val="24"/>
        </w:rPr>
        <w:t xml:space="preserve">Permeable pavement shall not be installed in the portions of hotspot areas </w:t>
      </w:r>
      <w:r w:rsidRPr="00A50041">
        <w:rPr>
          <w:rFonts w:asciiTheme="minorHAnsi" w:hAnsiTheme="minorHAnsi"/>
          <w:bCs/>
          <w:sz w:val="24"/>
          <w:szCs w:val="24"/>
        </w:rPr>
        <w:t xml:space="preserve">where toxic pollutants are stored or handled </w:t>
      </w:r>
      <w:r w:rsidRPr="00A50041">
        <w:rPr>
          <w:rFonts w:asciiTheme="minorHAnsi" w:hAnsiTheme="minorHAnsi"/>
          <w:sz w:val="24"/>
          <w:szCs w:val="24"/>
        </w:rPr>
        <w:t xml:space="preserve">(some examples of hotspots are listed in Section 18.3). </w:t>
      </w:r>
    </w:p>
    <w:p w:rsidR="00EE2FA3" w:rsidRPr="00A50041" w:rsidRDefault="00271A33" w:rsidP="00AF1B21">
      <w:pPr>
        <w:pStyle w:val="BodyText"/>
        <w:tabs>
          <w:tab w:val="left" w:pos="599"/>
        </w:tabs>
        <w:ind w:left="630" w:hanging="450"/>
        <w:rPr>
          <w:rFonts w:asciiTheme="minorHAnsi" w:hAnsiTheme="minorHAnsi"/>
          <w:sz w:val="24"/>
          <w:szCs w:val="24"/>
        </w:rPr>
      </w:pPr>
      <w:r>
        <w:rPr>
          <w:rFonts w:asciiTheme="minorHAnsi" w:hAnsiTheme="minorHAnsi"/>
          <w:sz w:val="24"/>
          <w:szCs w:val="24"/>
        </w:rPr>
        <w:t xml:space="preserve">2.  </w:t>
      </w:r>
      <w:r w:rsidR="00AF1B21">
        <w:rPr>
          <w:rFonts w:asciiTheme="minorHAnsi" w:hAnsiTheme="minorHAnsi"/>
          <w:sz w:val="24"/>
          <w:szCs w:val="24"/>
        </w:rPr>
        <w:tab/>
      </w:r>
      <w:r w:rsidR="004C6BC8" w:rsidRPr="004C6BC8">
        <w:rPr>
          <w:rStyle w:val="P2"/>
          <w:rFonts w:ascii="Calibri" w:hAnsi="Calibri"/>
          <w:color w:val="0000CC"/>
          <w:sz w:val="24"/>
          <w:szCs w:val="24"/>
        </w:rPr>
        <w:t xml:space="preserve">SEPARATION FROM THE SHWT.  The bottom of infiltration systems shall be a minimum of two feet above the SHWT.   However, the separation can be relaxed to one foot when the applicant can prove that the water table will subside to its pre-storm elevation in five days or less.  </w:t>
      </w:r>
    </w:p>
    <w:p w:rsidR="00EE2FA3" w:rsidRPr="004C6BC8" w:rsidRDefault="00271A33" w:rsidP="00AF1B21">
      <w:pPr>
        <w:pStyle w:val="Paragraph"/>
        <w:spacing w:after="160"/>
        <w:ind w:left="630"/>
        <w:jc w:val="left"/>
        <w:rPr>
          <w:rFonts w:ascii="Calibri" w:hAnsi="Calibri"/>
          <w:sz w:val="24"/>
          <w:szCs w:val="24"/>
        </w:rPr>
      </w:pPr>
      <w:r>
        <w:rPr>
          <w:rFonts w:asciiTheme="minorHAnsi" w:hAnsiTheme="minorHAnsi"/>
          <w:sz w:val="24"/>
          <w:szCs w:val="24"/>
        </w:rPr>
        <w:t xml:space="preserve">3.  </w:t>
      </w:r>
      <w:r w:rsidR="00AF1B21">
        <w:rPr>
          <w:rFonts w:asciiTheme="minorHAnsi" w:hAnsiTheme="minorHAnsi"/>
          <w:sz w:val="24"/>
          <w:szCs w:val="24"/>
        </w:rPr>
        <w:tab/>
      </w:r>
      <w:r w:rsidR="004C6BC8" w:rsidRPr="004C6BC8">
        <w:rPr>
          <w:rStyle w:val="P2"/>
          <w:rFonts w:ascii="Calibri" w:hAnsi="Calibri"/>
          <w:color w:val="0000CC"/>
          <w:sz w:val="24"/>
          <w:szCs w:val="24"/>
        </w:rPr>
        <w:t>SOIL SUBGRADE SURFACE.   The surface of the soil subgrade shall have a slope of less than or equal to two percent (level).  Terraces and baffles may be installed to achieve a level subgrade</w:t>
      </w:r>
      <w:r w:rsidR="004C6BC8" w:rsidRPr="004C6BC8">
        <w:rPr>
          <w:rFonts w:ascii="Calibri" w:hAnsi="Calibri"/>
          <w:color w:val="0000CC"/>
          <w:sz w:val="24"/>
          <w:szCs w:val="24"/>
        </w:rPr>
        <w:t>.</w:t>
      </w:r>
    </w:p>
    <w:p w:rsidR="00EE2FA3" w:rsidRPr="00A50041" w:rsidRDefault="00271A33" w:rsidP="00AF1B21">
      <w:pPr>
        <w:pStyle w:val="BodyText"/>
        <w:tabs>
          <w:tab w:val="left" w:pos="599"/>
        </w:tabs>
        <w:ind w:left="630" w:hanging="450"/>
        <w:rPr>
          <w:rFonts w:asciiTheme="minorHAnsi" w:hAnsiTheme="minorHAnsi"/>
          <w:sz w:val="24"/>
          <w:szCs w:val="24"/>
        </w:rPr>
      </w:pPr>
      <w:r>
        <w:rPr>
          <w:rFonts w:asciiTheme="minorHAnsi" w:hAnsiTheme="minorHAnsi"/>
          <w:sz w:val="24"/>
          <w:szCs w:val="24"/>
        </w:rPr>
        <w:t xml:space="preserve">4. </w:t>
      </w:r>
      <w:r w:rsidR="00AF1B21">
        <w:rPr>
          <w:rFonts w:asciiTheme="minorHAnsi" w:hAnsiTheme="minorHAnsi"/>
          <w:sz w:val="24"/>
          <w:szCs w:val="24"/>
        </w:rPr>
        <w:tab/>
      </w:r>
      <w:r>
        <w:rPr>
          <w:rFonts w:asciiTheme="minorHAnsi" w:hAnsiTheme="minorHAnsi"/>
          <w:sz w:val="24"/>
          <w:szCs w:val="24"/>
        </w:rPr>
        <w:t xml:space="preserve">AGGREGATE.  </w:t>
      </w:r>
      <w:r w:rsidR="00EE2FA3" w:rsidRPr="00A50041">
        <w:rPr>
          <w:rFonts w:asciiTheme="minorHAnsi" w:hAnsiTheme="minorHAnsi"/>
          <w:sz w:val="24"/>
          <w:szCs w:val="24"/>
        </w:rPr>
        <w:t>Washed aggregate base materials shall be used.</w:t>
      </w:r>
    </w:p>
    <w:p w:rsidR="007F7844" w:rsidRPr="00AF1B21" w:rsidRDefault="00271A33" w:rsidP="00AF1B21">
      <w:pPr>
        <w:pStyle w:val="BodyText"/>
        <w:tabs>
          <w:tab w:val="left" w:pos="599"/>
        </w:tabs>
        <w:ind w:left="630" w:hanging="450"/>
        <w:rPr>
          <w:rFonts w:asciiTheme="minorHAnsi" w:hAnsiTheme="minorHAnsi"/>
          <w:sz w:val="24"/>
          <w:szCs w:val="24"/>
        </w:rPr>
      </w:pPr>
      <w:r>
        <w:rPr>
          <w:rFonts w:asciiTheme="minorHAnsi" w:hAnsiTheme="minorHAnsi"/>
          <w:sz w:val="24"/>
          <w:szCs w:val="24"/>
        </w:rPr>
        <w:t xml:space="preserve">5. </w:t>
      </w:r>
      <w:r w:rsidR="00AF1B21">
        <w:rPr>
          <w:rFonts w:asciiTheme="minorHAnsi" w:hAnsiTheme="minorHAnsi"/>
          <w:sz w:val="24"/>
          <w:szCs w:val="24"/>
        </w:rPr>
        <w:tab/>
      </w:r>
      <w:r w:rsidR="002A4F24">
        <w:rPr>
          <w:rFonts w:asciiTheme="minorHAnsi" w:eastAsiaTheme="minorHAnsi" w:hAnsiTheme="minorHAnsi" w:cs="BookAntiqua"/>
          <w:lang w:eastAsia="en-US"/>
        </w:rPr>
        <w:t xml:space="preserve">PAVEMENT SURFACE. </w:t>
      </w:r>
      <w:r w:rsidR="007F7844" w:rsidRPr="00271A33">
        <w:rPr>
          <w:rFonts w:asciiTheme="minorHAnsi" w:eastAsiaTheme="minorHAnsi" w:hAnsiTheme="minorHAnsi" w:cs="BookAntiqua"/>
          <w:lang w:eastAsia="en-US"/>
        </w:rPr>
        <w:t xml:space="preserve">Designers </w:t>
      </w:r>
      <w:r w:rsidRPr="00271A33">
        <w:rPr>
          <w:rFonts w:asciiTheme="minorHAnsi" w:eastAsiaTheme="minorHAnsi" w:hAnsiTheme="minorHAnsi" w:cs="BookAntiqua"/>
          <w:lang w:eastAsia="en-US"/>
        </w:rPr>
        <w:t>who</w:t>
      </w:r>
      <w:r w:rsidR="007F7844" w:rsidRPr="00271A33">
        <w:rPr>
          <w:rFonts w:asciiTheme="minorHAnsi" w:eastAsiaTheme="minorHAnsi" w:hAnsiTheme="minorHAnsi" w:cs="BookAntiqua"/>
          <w:lang w:eastAsia="en-US"/>
        </w:rPr>
        <w:t xml:space="preserve"> propose </w:t>
      </w:r>
      <w:r w:rsidRPr="00271A33">
        <w:rPr>
          <w:rFonts w:asciiTheme="minorHAnsi" w:eastAsiaTheme="minorHAnsi" w:hAnsiTheme="minorHAnsi" w:cs="BookAntiqua"/>
          <w:lang w:eastAsia="en-US"/>
        </w:rPr>
        <w:t xml:space="preserve">pavement surfaces other than Permeable Interlocking Concrete Pavers (PICP), Pervious Concrete (PC) and Porous Asphalt (PA) </w:t>
      </w:r>
      <w:r w:rsidR="007F7844" w:rsidRPr="00271A33">
        <w:rPr>
          <w:rFonts w:asciiTheme="minorHAnsi" w:eastAsiaTheme="minorHAnsi" w:hAnsiTheme="minorHAnsi" w:cs="BookAntiqua"/>
          <w:lang w:eastAsia="en-US"/>
        </w:rPr>
        <w:t>shall</w:t>
      </w:r>
      <w:r w:rsidRPr="00271A33">
        <w:rPr>
          <w:rFonts w:asciiTheme="minorHAnsi" w:eastAsiaTheme="minorHAnsi" w:hAnsiTheme="minorHAnsi" w:cs="BookAntiqua"/>
          <w:lang w:eastAsia="en-US"/>
        </w:rPr>
        <w:t xml:space="preserve"> </w:t>
      </w:r>
      <w:r w:rsidR="007F7844" w:rsidRPr="00271A33">
        <w:rPr>
          <w:rFonts w:asciiTheme="minorHAnsi" w:eastAsiaTheme="minorHAnsi" w:hAnsiTheme="minorHAnsi" w:cs="BookAntiqua"/>
          <w:lang w:eastAsia="en-US"/>
        </w:rPr>
        <w:t>demonstrate that the proposed design functions adequately hydraulically and</w:t>
      </w:r>
      <w:r w:rsidRPr="00271A33">
        <w:rPr>
          <w:rFonts w:asciiTheme="minorHAnsi" w:eastAsiaTheme="minorHAnsi" w:hAnsiTheme="minorHAnsi" w:cs="BookAntiqua"/>
          <w:lang w:eastAsia="en-US"/>
        </w:rPr>
        <w:t xml:space="preserve"> </w:t>
      </w:r>
      <w:r w:rsidR="007F7844" w:rsidRPr="00271A33">
        <w:rPr>
          <w:rFonts w:asciiTheme="minorHAnsi" w:eastAsiaTheme="minorHAnsi" w:hAnsiTheme="minorHAnsi" w:cs="BookAntiqua"/>
          <w:lang w:eastAsia="en-US"/>
        </w:rPr>
        <w:t>structurally in the long term.</w:t>
      </w:r>
    </w:p>
    <w:p w:rsidR="007F7844" w:rsidRPr="00271A33" w:rsidRDefault="00AF1B21" w:rsidP="00AF1B21">
      <w:pPr>
        <w:suppressAutoHyphens w:val="0"/>
        <w:autoSpaceDE w:val="0"/>
        <w:autoSpaceDN w:val="0"/>
        <w:adjustRightInd w:val="0"/>
        <w:spacing w:after="160"/>
        <w:ind w:left="630" w:hanging="450"/>
        <w:rPr>
          <w:rFonts w:asciiTheme="minorHAnsi" w:eastAsiaTheme="minorHAnsi" w:hAnsiTheme="minorHAnsi" w:cs="BookAntiqua"/>
          <w:lang w:eastAsia="en-US"/>
        </w:rPr>
      </w:pPr>
      <w:r>
        <w:rPr>
          <w:rFonts w:asciiTheme="minorHAnsi" w:eastAsiaTheme="minorHAnsi" w:hAnsiTheme="minorHAnsi" w:cs="BookAntiqua"/>
          <w:lang w:eastAsia="en-US"/>
        </w:rPr>
        <w:t>6</w:t>
      </w:r>
      <w:r w:rsidR="002A4F24">
        <w:rPr>
          <w:rFonts w:asciiTheme="minorHAnsi" w:eastAsiaTheme="minorHAnsi" w:hAnsiTheme="minorHAnsi" w:cs="BookAntiqua"/>
          <w:lang w:eastAsia="en-US"/>
        </w:rPr>
        <w:t xml:space="preserve">.  </w:t>
      </w:r>
      <w:r>
        <w:rPr>
          <w:rFonts w:asciiTheme="minorHAnsi" w:eastAsiaTheme="minorHAnsi" w:hAnsiTheme="minorHAnsi" w:cs="BookAntiqua"/>
          <w:lang w:eastAsia="en-US"/>
        </w:rPr>
        <w:tab/>
      </w:r>
      <w:r w:rsidR="002A4F24">
        <w:rPr>
          <w:rFonts w:asciiTheme="minorHAnsi" w:eastAsiaTheme="minorHAnsi" w:hAnsiTheme="minorHAnsi" w:cs="BookAntiqua"/>
          <w:lang w:eastAsia="en-US"/>
        </w:rPr>
        <w:t xml:space="preserve">PERMEABLE ASPHALT.  </w:t>
      </w:r>
      <w:r w:rsidR="00271A33" w:rsidRPr="00271A33">
        <w:rPr>
          <w:rFonts w:asciiTheme="minorHAnsi" w:eastAsiaTheme="minorHAnsi" w:hAnsiTheme="minorHAnsi" w:cs="BookAntiqua"/>
          <w:lang w:eastAsia="en-US"/>
        </w:rPr>
        <w:t xml:space="preserve">For permeable asphalt, a </w:t>
      </w:r>
      <w:r w:rsidR="007F7844" w:rsidRPr="00271A33">
        <w:rPr>
          <w:rFonts w:asciiTheme="minorHAnsi" w:eastAsiaTheme="minorHAnsi" w:hAnsiTheme="minorHAnsi" w:cs="BookAntiqua"/>
          <w:lang w:eastAsia="en-US"/>
        </w:rPr>
        <w:t>modified asphalt binder as specified by the Carolina Asphalt Pavement</w:t>
      </w:r>
      <w:r w:rsidR="002A4F24">
        <w:rPr>
          <w:rFonts w:asciiTheme="minorHAnsi" w:eastAsiaTheme="minorHAnsi" w:hAnsiTheme="minorHAnsi" w:cs="BookAntiqua"/>
          <w:lang w:eastAsia="en-US"/>
        </w:rPr>
        <w:t xml:space="preserve"> </w:t>
      </w:r>
      <w:r w:rsidR="007F7844" w:rsidRPr="00271A33">
        <w:rPr>
          <w:rFonts w:asciiTheme="minorHAnsi" w:eastAsiaTheme="minorHAnsi" w:hAnsiTheme="minorHAnsi" w:cs="BookAntiqua"/>
          <w:lang w:eastAsia="en-US"/>
        </w:rPr>
        <w:t>Association (CAPA) shall be used to ensure long term durability and</w:t>
      </w:r>
      <w:r w:rsidR="002A4F24">
        <w:rPr>
          <w:rFonts w:asciiTheme="minorHAnsi" w:eastAsiaTheme="minorHAnsi" w:hAnsiTheme="minorHAnsi" w:cs="BookAntiqua"/>
          <w:lang w:eastAsia="en-US"/>
        </w:rPr>
        <w:t xml:space="preserve"> </w:t>
      </w:r>
      <w:r w:rsidR="007F7844" w:rsidRPr="00271A33">
        <w:rPr>
          <w:rFonts w:asciiTheme="minorHAnsi" w:eastAsiaTheme="minorHAnsi" w:hAnsiTheme="minorHAnsi" w:cs="BookAntiqua"/>
          <w:lang w:eastAsia="en-US"/>
        </w:rPr>
        <w:t>permeability.</w:t>
      </w:r>
    </w:p>
    <w:p w:rsidR="002A4F24" w:rsidRDefault="00AF1B21" w:rsidP="00AF1B21">
      <w:pPr>
        <w:suppressAutoHyphens w:val="0"/>
        <w:autoSpaceDE w:val="0"/>
        <w:autoSpaceDN w:val="0"/>
        <w:adjustRightInd w:val="0"/>
        <w:spacing w:after="160"/>
        <w:ind w:left="630" w:hanging="450"/>
        <w:rPr>
          <w:rFonts w:asciiTheme="minorHAnsi" w:eastAsiaTheme="minorHAnsi" w:hAnsiTheme="minorHAnsi" w:cs="BookAntiqua"/>
          <w:lang w:eastAsia="en-US"/>
        </w:rPr>
      </w:pPr>
      <w:r>
        <w:rPr>
          <w:rFonts w:asciiTheme="minorHAnsi" w:eastAsiaTheme="minorHAnsi" w:hAnsiTheme="minorHAnsi" w:cs="BookAntiqua"/>
          <w:lang w:eastAsia="en-US"/>
        </w:rPr>
        <w:t>7</w:t>
      </w:r>
      <w:r w:rsidR="002A4F24">
        <w:rPr>
          <w:rFonts w:asciiTheme="minorHAnsi" w:eastAsiaTheme="minorHAnsi" w:hAnsiTheme="minorHAnsi" w:cs="BookAntiqua"/>
          <w:lang w:eastAsia="en-US"/>
        </w:rPr>
        <w:t xml:space="preserve">.  </w:t>
      </w:r>
      <w:r>
        <w:rPr>
          <w:rFonts w:asciiTheme="minorHAnsi" w:eastAsiaTheme="minorHAnsi" w:hAnsiTheme="minorHAnsi" w:cs="BookAntiqua"/>
          <w:lang w:eastAsia="en-US"/>
        </w:rPr>
        <w:tab/>
      </w:r>
      <w:r w:rsidR="002A4F24">
        <w:rPr>
          <w:rFonts w:asciiTheme="minorHAnsi" w:eastAsiaTheme="minorHAnsi" w:hAnsiTheme="minorHAnsi" w:cs="BookAntiqua"/>
          <w:lang w:eastAsia="en-US"/>
        </w:rPr>
        <w:t xml:space="preserve">PERMEABLE CONCRETE.  </w:t>
      </w:r>
      <w:r w:rsidR="006F2A7A" w:rsidRPr="00271A33">
        <w:rPr>
          <w:rFonts w:asciiTheme="minorHAnsi" w:eastAsiaTheme="minorHAnsi" w:hAnsiTheme="minorHAnsi" w:cs="BookAntiqua"/>
          <w:lang w:eastAsia="en-US"/>
        </w:rPr>
        <w:t>Fo</w:t>
      </w:r>
      <w:r w:rsidR="002A4F24">
        <w:rPr>
          <w:rFonts w:asciiTheme="minorHAnsi" w:eastAsiaTheme="minorHAnsi" w:hAnsiTheme="minorHAnsi" w:cs="BookAntiqua"/>
          <w:lang w:eastAsia="en-US"/>
        </w:rPr>
        <w:t>r Permeable Concrete</w:t>
      </w:r>
      <w:r w:rsidR="006F2A7A" w:rsidRPr="00271A33">
        <w:rPr>
          <w:rFonts w:asciiTheme="minorHAnsi" w:eastAsiaTheme="minorHAnsi" w:hAnsiTheme="minorHAnsi" w:cs="BookAntiqua"/>
          <w:lang w:eastAsia="en-US"/>
        </w:rPr>
        <w:t>, the mix design</w:t>
      </w:r>
      <w:r w:rsidR="002A4F24">
        <w:rPr>
          <w:rFonts w:asciiTheme="minorHAnsi" w:eastAsiaTheme="minorHAnsi" w:hAnsiTheme="minorHAnsi" w:cs="BookAntiqua"/>
          <w:lang w:eastAsia="en-US"/>
        </w:rPr>
        <w:t xml:space="preserve"> </w:t>
      </w:r>
      <w:r w:rsidR="006F2A7A" w:rsidRPr="00271A33">
        <w:rPr>
          <w:rFonts w:asciiTheme="minorHAnsi" w:eastAsiaTheme="minorHAnsi" w:hAnsiTheme="minorHAnsi" w:cs="BookAntiqua"/>
          <w:lang w:eastAsia="en-US"/>
        </w:rPr>
        <w:t xml:space="preserve">shall be in accordance with the latest version of ACI 522.1 </w:t>
      </w:r>
      <w:r w:rsidR="006F2A7A" w:rsidRPr="00271A33">
        <w:rPr>
          <w:rFonts w:asciiTheme="minorHAnsi" w:eastAsiaTheme="minorHAnsi" w:hAnsiTheme="minorHAnsi" w:cs="BookAntiqua-Italic"/>
          <w:i/>
          <w:iCs/>
          <w:lang w:eastAsia="en-US"/>
        </w:rPr>
        <w:t>Specification for Pervious</w:t>
      </w:r>
      <w:r w:rsidR="002A4F24">
        <w:rPr>
          <w:rFonts w:asciiTheme="minorHAnsi" w:eastAsiaTheme="minorHAnsi" w:hAnsiTheme="minorHAnsi" w:cs="BookAntiqua"/>
          <w:lang w:eastAsia="en-US"/>
        </w:rPr>
        <w:t xml:space="preserve"> </w:t>
      </w:r>
      <w:r w:rsidR="006F2A7A" w:rsidRPr="00271A33">
        <w:rPr>
          <w:rFonts w:asciiTheme="minorHAnsi" w:eastAsiaTheme="minorHAnsi" w:hAnsiTheme="minorHAnsi" w:cs="BookAntiqua-Italic"/>
          <w:i/>
          <w:iCs/>
          <w:lang w:eastAsia="en-US"/>
        </w:rPr>
        <w:t>Concrete</w:t>
      </w:r>
      <w:r w:rsidR="006F2A7A" w:rsidRPr="00271A33">
        <w:rPr>
          <w:rFonts w:asciiTheme="minorHAnsi" w:eastAsiaTheme="minorHAnsi" w:hAnsiTheme="minorHAnsi" w:cs="BookAntiqua"/>
          <w:lang w:eastAsia="en-US"/>
        </w:rPr>
        <w:t xml:space="preserve">. For PA, the mix design shall be in accordance with NAPA’s </w:t>
      </w:r>
      <w:r w:rsidR="006F2A7A" w:rsidRPr="00271A33">
        <w:rPr>
          <w:rFonts w:asciiTheme="minorHAnsi" w:eastAsiaTheme="minorHAnsi" w:hAnsiTheme="minorHAnsi" w:cs="BookAntiqua-Italic"/>
          <w:i/>
          <w:iCs/>
          <w:lang w:eastAsia="en-US"/>
        </w:rPr>
        <w:t>Porous Asphalt</w:t>
      </w:r>
      <w:r w:rsidR="002A4F24">
        <w:rPr>
          <w:rFonts w:asciiTheme="minorHAnsi" w:eastAsiaTheme="minorHAnsi" w:hAnsiTheme="minorHAnsi" w:cs="BookAntiqua"/>
          <w:lang w:eastAsia="en-US"/>
        </w:rPr>
        <w:t xml:space="preserve"> </w:t>
      </w:r>
      <w:r w:rsidR="006F2A7A" w:rsidRPr="00271A33">
        <w:rPr>
          <w:rFonts w:asciiTheme="minorHAnsi" w:eastAsiaTheme="minorHAnsi" w:hAnsiTheme="minorHAnsi" w:cs="BookAntiqua-Italic"/>
          <w:i/>
          <w:iCs/>
          <w:lang w:eastAsia="en-US"/>
        </w:rPr>
        <w:t xml:space="preserve">Pavements for Stormwater Management </w:t>
      </w:r>
      <w:r w:rsidR="006F2A7A" w:rsidRPr="00271A33">
        <w:rPr>
          <w:rFonts w:asciiTheme="minorHAnsi" w:eastAsiaTheme="minorHAnsi" w:hAnsiTheme="minorHAnsi" w:cs="BookAntiqua"/>
          <w:lang w:eastAsia="en-US"/>
        </w:rPr>
        <w:t xml:space="preserve">and CAPA’s </w:t>
      </w:r>
      <w:r w:rsidR="006F2A7A" w:rsidRPr="00271A33">
        <w:rPr>
          <w:rFonts w:asciiTheme="minorHAnsi" w:eastAsiaTheme="minorHAnsi" w:hAnsiTheme="minorHAnsi" w:cs="BookAntiqua-Italic"/>
          <w:i/>
          <w:iCs/>
          <w:lang w:eastAsia="en-US"/>
        </w:rPr>
        <w:t>Porous Asphalt Guide Specification</w:t>
      </w:r>
      <w:r w:rsidR="006F2A7A" w:rsidRPr="00271A33">
        <w:rPr>
          <w:rFonts w:asciiTheme="minorHAnsi" w:eastAsiaTheme="minorHAnsi" w:hAnsiTheme="minorHAnsi" w:cs="BookAntiqua"/>
          <w:lang w:eastAsia="en-US"/>
        </w:rPr>
        <w:t xml:space="preserve">. </w:t>
      </w:r>
    </w:p>
    <w:p w:rsidR="00EE2FA3" w:rsidRPr="00AF1B21" w:rsidRDefault="002A4F24" w:rsidP="00AF1B21">
      <w:pPr>
        <w:suppressAutoHyphens w:val="0"/>
        <w:autoSpaceDE w:val="0"/>
        <w:autoSpaceDN w:val="0"/>
        <w:adjustRightInd w:val="0"/>
        <w:spacing w:after="160"/>
        <w:ind w:left="630" w:hanging="450"/>
        <w:rPr>
          <w:rFonts w:asciiTheme="minorHAnsi" w:eastAsiaTheme="minorHAnsi" w:hAnsiTheme="minorHAnsi" w:cs="BookAntiqua"/>
          <w:lang w:eastAsia="en-US"/>
        </w:rPr>
      </w:pPr>
      <w:r>
        <w:rPr>
          <w:rFonts w:asciiTheme="minorHAnsi" w:eastAsiaTheme="minorHAnsi" w:hAnsiTheme="minorHAnsi" w:cs="BookAntiqua"/>
          <w:lang w:eastAsia="en-US"/>
        </w:rPr>
        <w:t xml:space="preserve">9.  </w:t>
      </w:r>
      <w:r w:rsidR="00AF1B21">
        <w:rPr>
          <w:rFonts w:asciiTheme="minorHAnsi" w:eastAsiaTheme="minorHAnsi" w:hAnsiTheme="minorHAnsi" w:cs="BookAntiqua"/>
          <w:lang w:eastAsia="en-US"/>
        </w:rPr>
        <w:tab/>
      </w:r>
      <w:r>
        <w:rPr>
          <w:rFonts w:asciiTheme="minorHAnsi" w:hAnsiTheme="minorHAnsi"/>
        </w:rPr>
        <w:t xml:space="preserve">RUNOFF FROM ADJACENT BUA.  </w:t>
      </w:r>
      <w:r w:rsidR="00EE2FA3" w:rsidRPr="00271A33">
        <w:rPr>
          <w:rFonts w:asciiTheme="minorHAnsi" w:hAnsiTheme="minorHAnsi"/>
        </w:rPr>
        <w:t xml:space="preserve">Permeable pavement may be designed to receive runoff from adjacent BUAs </w:t>
      </w:r>
      <w:r w:rsidR="00AF1B21">
        <w:rPr>
          <w:rFonts w:asciiTheme="minorHAnsi" w:hAnsiTheme="minorHAnsi"/>
        </w:rPr>
        <w:t xml:space="preserve">provided that the </w:t>
      </w:r>
      <w:r w:rsidR="00EE2FA3" w:rsidRPr="00271A33">
        <w:rPr>
          <w:rFonts w:asciiTheme="minorHAnsi" w:hAnsiTheme="minorHAnsi"/>
        </w:rPr>
        <w:t xml:space="preserve">there </w:t>
      </w:r>
      <w:r w:rsidR="00AF1B21">
        <w:rPr>
          <w:rFonts w:asciiTheme="minorHAnsi" w:hAnsiTheme="minorHAnsi"/>
        </w:rPr>
        <w:t>is</w:t>
      </w:r>
      <w:r w:rsidR="00EE2FA3" w:rsidRPr="00271A33">
        <w:rPr>
          <w:rFonts w:asciiTheme="minorHAnsi" w:hAnsiTheme="minorHAnsi"/>
        </w:rPr>
        <w:t xml:space="preserve"> a well-designed system to convey the runoff from the BUA to the permeable pavement.  </w:t>
      </w:r>
    </w:p>
    <w:p w:rsidR="00EE2FA3" w:rsidRPr="00271A33" w:rsidRDefault="00AF1B21" w:rsidP="00AF1B21">
      <w:pPr>
        <w:pStyle w:val="BodyText"/>
        <w:tabs>
          <w:tab w:val="left" w:pos="599"/>
        </w:tabs>
        <w:ind w:left="630" w:hanging="450"/>
        <w:rPr>
          <w:rFonts w:asciiTheme="minorHAnsi" w:hAnsiTheme="minorHAnsi"/>
          <w:sz w:val="24"/>
          <w:szCs w:val="24"/>
        </w:rPr>
      </w:pPr>
      <w:r>
        <w:rPr>
          <w:rFonts w:asciiTheme="minorHAnsi" w:hAnsiTheme="minorHAnsi"/>
          <w:sz w:val="24"/>
          <w:szCs w:val="24"/>
        </w:rPr>
        <w:t>10</w:t>
      </w:r>
      <w:r w:rsidR="002A4F24">
        <w:rPr>
          <w:rFonts w:asciiTheme="minorHAnsi" w:hAnsiTheme="minorHAnsi"/>
          <w:sz w:val="24"/>
          <w:szCs w:val="24"/>
        </w:rPr>
        <w:t xml:space="preserve">. </w:t>
      </w:r>
      <w:r>
        <w:rPr>
          <w:rFonts w:asciiTheme="minorHAnsi" w:hAnsiTheme="minorHAnsi"/>
          <w:sz w:val="24"/>
          <w:szCs w:val="24"/>
        </w:rPr>
        <w:tab/>
      </w:r>
      <w:r w:rsidR="002A4F24">
        <w:rPr>
          <w:rFonts w:asciiTheme="minorHAnsi" w:hAnsiTheme="minorHAnsi"/>
          <w:sz w:val="24"/>
          <w:szCs w:val="24"/>
        </w:rPr>
        <w:t xml:space="preserve">RUNOFF FROM ADJACENT PERVIOUS AREAS.  </w:t>
      </w:r>
      <w:r w:rsidR="00EE2FA3" w:rsidRPr="00271A33">
        <w:rPr>
          <w:rFonts w:asciiTheme="minorHAnsi" w:hAnsiTheme="minorHAnsi"/>
          <w:sz w:val="24"/>
          <w:szCs w:val="24"/>
        </w:rPr>
        <w:t xml:space="preserve">Runoff from </w:t>
      </w:r>
      <w:r w:rsidR="002A4F24">
        <w:rPr>
          <w:rFonts w:asciiTheme="minorHAnsi" w:hAnsiTheme="minorHAnsi"/>
          <w:sz w:val="24"/>
          <w:szCs w:val="24"/>
        </w:rPr>
        <w:t>adjacent pervious areas</w:t>
      </w:r>
      <w:r w:rsidR="00EE2FA3" w:rsidRPr="00271A33">
        <w:rPr>
          <w:rFonts w:asciiTheme="minorHAnsi" w:hAnsiTheme="minorHAnsi"/>
          <w:sz w:val="24"/>
          <w:szCs w:val="24"/>
        </w:rPr>
        <w:t xml:space="preserve"> shall be prevented</w:t>
      </w:r>
      <w:r w:rsidR="002A4F24">
        <w:rPr>
          <w:rFonts w:asciiTheme="minorHAnsi" w:hAnsiTheme="minorHAnsi"/>
          <w:sz w:val="24"/>
          <w:szCs w:val="24"/>
        </w:rPr>
        <w:t xml:space="preserve"> from reaching </w:t>
      </w:r>
      <w:r w:rsidR="00EE2FA3" w:rsidRPr="00271A33">
        <w:rPr>
          <w:rFonts w:asciiTheme="minorHAnsi" w:hAnsiTheme="minorHAnsi"/>
          <w:sz w:val="24"/>
          <w:szCs w:val="24"/>
        </w:rPr>
        <w:t>the permeable pavement.  Exceptions such as site restrictions on redevelopment projects shall be reviewed on a case-by-case basis.</w:t>
      </w:r>
    </w:p>
    <w:p w:rsidR="006F2A7A" w:rsidRPr="002A4F24" w:rsidRDefault="002A4F24" w:rsidP="00AF1B21">
      <w:pPr>
        <w:pStyle w:val="BodyText"/>
        <w:tabs>
          <w:tab w:val="left" w:pos="599"/>
        </w:tabs>
        <w:ind w:left="630" w:hanging="450"/>
        <w:rPr>
          <w:rFonts w:asciiTheme="minorHAnsi" w:hAnsiTheme="minorHAnsi"/>
          <w:sz w:val="24"/>
          <w:szCs w:val="24"/>
        </w:rPr>
      </w:pPr>
      <w:r>
        <w:rPr>
          <w:rFonts w:asciiTheme="minorHAnsi" w:hAnsiTheme="minorHAnsi"/>
          <w:sz w:val="24"/>
          <w:szCs w:val="24"/>
        </w:rPr>
        <w:t xml:space="preserve">13. CONSTRUCTION SEQUENCE.  </w:t>
      </w:r>
      <w:r w:rsidR="00EE2FA3" w:rsidRPr="00271A33">
        <w:rPr>
          <w:rFonts w:asciiTheme="minorHAnsi" w:hAnsiTheme="minorHAnsi"/>
          <w:sz w:val="24"/>
          <w:szCs w:val="24"/>
        </w:rPr>
        <w:t>Permeable pavement shall not be installed until the upslope and adjoining areas are stabilized.  After installations, barriers shall be installed to prevent construction traff</w:t>
      </w:r>
      <w:r>
        <w:rPr>
          <w:rFonts w:asciiTheme="minorHAnsi" w:hAnsiTheme="minorHAnsi"/>
          <w:sz w:val="24"/>
          <w:szCs w:val="24"/>
        </w:rPr>
        <w:t xml:space="preserve">ic from driving on the pavement </w:t>
      </w:r>
      <w:r w:rsidR="006F2A7A" w:rsidRPr="00271A33">
        <w:rPr>
          <w:rFonts w:asciiTheme="minorHAnsi" w:eastAsiaTheme="minorHAnsi" w:hAnsiTheme="minorHAnsi" w:cs="BookAntiqua"/>
          <w:lang w:eastAsia="en-US"/>
        </w:rPr>
        <w:t>an infiltrating permeable pavement system shall be capable of infiltrating the</w:t>
      </w:r>
    </w:p>
    <w:p w:rsidR="004C6BC8" w:rsidRDefault="00AF1B21" w:rsidP="00AF1B21">
      <w:pPr>
        <w:pStyle w:val="Paragraph"/>
        <w:spacing w:after="160"/>
        <w:ind w:left="630"/>
        <w:jc w:val="left"/>
        <w:rPr>
          <w:rFonts w:ascii="Calibri" w:hAnsi="Calibri"/>
          <w:color w:val="0000CC"/>
          <w:sz w:val="24"/>
          <w:szCs w:val="24"/>
        </w:rPr>
      </w:pPr>
      <w:r>
        <w:rPr>
          <w:rStyle w:val="P2"/>
          <w:rFonts w:ascii="Calibri" w:hAnsi="Calibri"/>
          <w:sz w:val="24"/>
          <w:szCs w:val="24"/>
        </w:rPr>
        <w:t>12</w:t>
      </w:r>
      <w:r w:rsidR="004C6BC8">
        <w:rPr>
          <w:rStyle w:val="P2"/>
          <w:rFonts w:ascii="Calibri" w:hAnsi="Calibri"/>
          <w:sz w:val="24"/>
          <w:szCs w:val="24"/>
        </w:rPr>
        <w:t xml:space="preserve">.  </w:t>
      </w:r>
      <w:r w:rsidR="004C6BC8" w:rsidRPr="004C6BC8">
        <w:rPr>
          <w:rStyle w:val="P2"/>
          <w:rFonts w:ascii="Calibri" w:hAnsi="Calibri"/>
          <w:color w:val="0000CC"/>
          <w:sz w:val="24"/>
          <w:szCs w:val="24"/>
        </w:rPr>
        <w:t>DRAW DOWN TIME AND SOIL INVESTIGATION.  Infiltrating pavement systems shall be designed to completely dewater the treatment volume to the bottom of the infiltration device within 72 hours</w:t>
      </w:r>
      <w:r w:rsidR="004C6BC8" w:rsidRPr="004C6BC8">
        <w:rPr>
          <w:rFonts w:ascii="Calibri" w:hAnsi="Calibri"/>
          <w:color w:val="0000CC"/>
          <w:sz w:val="24"/>
          <w:szCs w:val="24"/>
        </w:rPr>
        <w:t>.  A site-specific soil investigation shall be performed to establish the hydraulic properties and characteristics of the area in which the infiltration device will be sited.</w:t>
      </w:r>
    </w:p>
    <w:p w:rsidR="00AF1B21" w:rsidRDefault="00AF1B21" w:rsidP="00AF1B21">
      <w:pPr>
        <w:pStyle w:val="Paragraph"/>
        <w:spacing w:after="160"/>
        <w:ind w:left="630"/>
        <w:jc w:val="left"/>
        <w:rPr>
          <w:rFonts w:asciiTheme="minorHAnsi" w:eastAsiaTheme="minorHAnsi" w:hAnsiTheme="minorHAnsi" w:cs="BookAntiqua"/>
          <w:sz w:val="24"/>
        </w:rPr>
      </w:pPr>
      <w:r>
        <w:rPr>
          <w:rStyle w:val="P2"/>
          <w:rFonts w:ascii="Calibri" w:hAnsi="Calibri" w:cs="TTE11BF4B0t00"/>
          <w:sz w:val="24"/>
          <w:szCs w:val="24"/>
        </w:rPr>
        <w:t>13</w:t>
      </w:r>
      <w:r w:rsidR="004C6BC8">
        <w:rPr>
          <w:rStyle w:val="P2"/>
          <w:rFonts w:ascii="Calibri" w:hAnsi="Calibri" w:cs="TTE11BF4B0t00"/>
          <w:sz w:val="24"/>
          <w:szCs w:val="24"/>
        </w:rPr>
        <w:t xml:space="preserve">.  </w:t>
      </w:r>
      <w:r w:rsidRPr="00AF1B21">
        <w:rPr>
          <w:rFonts w:asciiTheme="minorHAnsi" w:eastAsiaTheme="minorHAnsi" w:hAnsiTheme="minorHAnsi" w:cs="BookAntiqua"/>
          <w:sz w:val="24"/>
        </w:rPr>
        <w:t>CONTRACTORS.  For PICP, PA and PC, the use of certified and qualified contractors in accordance with industry standard documents shall be required and noted on both project plans and specifications.</w:t>
      </w:r>
    </w:p>
    <w:p w:rsidR="00AF1B21" w:rsidRDefault="00AF1B21" w:rsidP="00AF1B21">
      <w:pPr>
        <w:pStyle w:val="Paragraph"/>
        <w:spacing w:after="160"/>
        <w:ind w:left="630"/>
        <w:jc w:val="left"/>
        <w:rPr>
          <w:rFonts w:asciiTheme="minorHAnsi" w:hAnsiTheme="minorHAnsi"/>
          <w:sz w:val="24"/>
          <w:szCs w:val="24"/>
        </w:rPr>
      </w:pPr>
      <w:r>
        <w:rPr>
          <w:rFonts w:asciiTheme="minorHAnsi" w:hAnsiTheme="minorHAnsi"/>
          <w:sz w:val="24"/>
          <w:szCs w:val="24"/>
        </w:rPr>
        <w:t>14.</w:t>
      </w:r>
      <w:r>
        <w:rPr>
          <w:rFonts w:asciiTheme="minorHAnsi" w:hAnsiTheme="minorHAnsi"/>
          <w:sz w:val="24"/>
          <w:szCs w:val="24"/>
        </w:rPr>
        <w:tab/>
        <w:t xml:space="preserve">SOIL PREPARATION.  </w:t>
      </w:r>
      <w:r w:rsidRPr="00A50041">
        <w:rPr>
          <w:rFonts w:asciiTheme="minorHAnsi" w:hAnsiTheme="minorHAnsi"/>
          <w:sz w:val="24"/>
          <w:szCs w:val="24"/>
        </w:rPr>
        <w:t>In HSG B, C and D, the surface of the soil subgrade under infiltrating permeable pavement should be scarified, ripped or trenched immediately prior to aggregate base placement to maintain the pre-construction subgrade infiltration rate.</w:t>
      </w:r>
    </w:p>
    <w:p w:rsidR="004C6BC8" w:rsidRDefault="00AF1B21" w:rsidP="00AF1B21">
      <w:pPr>
        <w:pStyle w:val="Paragraph"/>
        <w:spacing w:after="160"/>
        <w:ind w:left="630"/>
        <w:jc w:val="left"/>
        <w:rPr>
          <w:rStyle w:val="P2"/>
          <w:rFonts w:ascii="Calibri" w:hAnsi="Calibri"/>
          <w:sz w:val="24"/>
          <w:szCs w:val="24"/>
        </w:rPr>
      </w:pPr>
      <w:r>
        <w:rPr>
          <w:rStyle w:val="P2"/>
          <w:rFonts w:ascii="Calibri" w:hAnsi="Calibri" w:cs="TTE11BF4B0t00"/>
          <w:color w:val="0000CC"/>
          <w:sz w:val="24"/>
          <w:szCs w:val="24"/>
        </w:rPr>
        <w:t xml:space="preserve">15. </w:t>
      </w:r>
      <w:r>
        <w:rPr>
          <w:rStyle w:val="P2"/>
          <w:rFonts w:ascii="Calibri" w:hAnsi="Calibri" w:cs="TTE11BF4B0t00"/>
          <w:color w:val="0000CC"/>
          <w:sz w:val="24"/>
          <w:szCs w:val="24"/>
        </w:rPr>
        <w:tab/>
      </w:r>
      <w:r w:rsidR="004C6BC8" w:rsidRPr="004C6BC8">
        <w:rPr>
          <w:rStyle w:val="P2"/>
          <w:rFonts w:ascii="Calibri" w:hAnsi="Calibri" w:cs="TTE11BF4B0t00"/>
          <w:color w:val="0000CC"/>
          <w:sz w:val="24"/>
          <w:szCs w:val="24"/>
        </w:rPr>
        <w:t>PLACEMENT OF INFILTRATION MEDIA.  In-situ soils may be removed and replaced with infiltration media or infiltration media may be placed on top of in-situ soils if the applicant can demonstrate that the modified soil profile allows for drainage of the treatment volume within 72 hours</w:t>
      </w:r>
      <w:r w:rsidR="004C6BC8" w:rsidRPr="004C6BC8">
        <w:rPr>
          <w:rFonts w:ascii="Calibri" w:hAnsi="Calibri"/>
          <w:color w:val="0000CC"/>
          <w:sz w:val="24"/>
          <w:szCs w:val="24"/>
        </w:rPr>
        <w:t>.</w:t>
      </w:r>
      <w:r w:rsidR="004C6BC8" w:rsidRPr="00C51149">
        <w:rPr>
          <w:rStyle w:val="P2"/>
          <w:rFonts w:ascii="Calibri" w:hAnsi="Calibri"/>
          <w:sz w:val="24"/>
          <w:szCs w:val="24"/>
        </w:rPr>
        <w:t xml:space="preserve"> </w:t>
      </w:r>
    </w:p>
    <w:p w:rsidR="00AF1B21" w:rsidRPr="00C51149" w:rsidRDefault="00AF1B21" w:rsidP="00AF1B21">
      <w:pPr>
        <w:pStyle w:val="Paragraph"/>
        <w:spacing w:after="160"/>
        <w:ind w:left="630"/>
        <w:jc w:val="left"/>
        <w:rPr>
          <w:rStyle w:val="P2"/>
          <w:rFonts w:ascii="Calibri" w:hAnsi="Calibri"/>
          <w:sz w:val="24"/>
          <w:szCs w:val="24"/>
        </w:rPr>
      </w:pPr>
      <w:r>
        <w:rPr>
          <w:rFonts w:ascii="Calibri" w:hAnsi="Calibri" w:cs="TTE11B56A8t00"/>
          <w:sz w:val="24"/>
          <w:szCs w:val="24"/>
        </w:rPr>
        <w:t xml:space="preserve">16.  </w:t>
      </w:r>
      <w:r w:rsidRPr="00C51149">
        <w:rPr>
          <w:rFonts w:ascii="Calibri" w:hAnsi="Calibri" w:cs="TTE11B56A8t00"/>
          <w:sz w:val="24"/>
          <w:szCs w:val="24"/>
        </w:rPr>
        <w:t>OBS</w:t>
      </w:r>
      <w:r>
        <w:rPr>
          <w:rFonts w:ascii="Calibri" w:hAnsi="Calibri" w:cs="TTE11B56A8t00"/>
          <w:sz w:val="24"/>
          <w:szCs w:val="24"/>
        </w:rPr>
        <w:t>ERVATION WELL. For infiltrating pavement surfaces located under the ground surface</w:t>
      </w:r>
      <w:r w:rsidRPr="00C51149">
        <w:rPr>
          <w:rFonts w:ascii="Calibri" w:hAnsi="Calibri" w:cs="TTE11B56A8t00"/>
          <w:sz w:val="24"/>
          <w:szCs w:val="24"/>
        </w:rPr>
        <w:t>, a minimum of one inspection port shall be provided</w:t>
      </w:r>
      <w:r>
        <w:rPr>
          <w:rFonts w:ascii="Calibri" w:hAnsi="Calibri" w:cs="TTE11B56A8t00"/>
          <w:sz w:val="24"/>
          <w:szCs w:val="24"/>
        </w:rPr>
        <w:t xml:space="preserve"> at the low point in the system </w:t>
      </w:r>
      <w:r w:rsidRPr="00271A33">
        <w:rPr>
          <w:rFonts w:asciiTheme="minorHAnsi" w:hAnsiTheme="minorHAnsi"/>
          <w:sz w:val="24"/>
          <w:szCs w:val="24"/>
        </w:rPr>
        <w:t>unless the subgrade is terraced; in that case, there shall be one well for each terrace.</w:t>
      </w:r>
    </w:p>
    <w:p w:rsidR="004C6BC8" w:rsidRPr="00271A33" w:rsidRDefault="00AF1B21" w:rsidP="00AF1B21">
      <w:pPr>
        <w:pStyle w:val="BodyText"/>
        <w:tabs>
          <w:tab w:val="left" w:pos="599"/>
        </w:tabs>
        <w:ind w:left="630" w:hanging="450"/>
        <w:rPr>
          <w:rFonts w:asciiTheme="minorHAnsi" w:eastAsiaTheme="minorHAnsi" w:hAnsiTheme="minorHAnsi" w:cs="BookAntiqua"/>
          <w:lang w:eastAsia="en-US"/>
        </w:rPr>
      </w:pPr>
      <w:r>
        <w:rPr>
          <w:rFonts w:ascii="Calibri" w:hAnsi="Calibri"/>
          <w:sz w:val="24"/>
          <w:szCs w:val="24"/>
          <w:lang w:eastAsia="en-US"/>
        </w:rPr>
        <w:t>17</w:t>
      </w:r>
      <w:r w:rsidR="004C6BC8">
        <w:rPr>
          <w:rFonts w:ascii="Calibri" w:hAnsi="Calibri"/>
          <w:sz w:val="24"/>
          <w:szCs w:val="24"/>
          <w:lang w:eastAsia="en-US"/>
        </w:rPr>
        <w:t xml:space="preserve">.  DETENTION SYSTEMS.  </w:t>
      </w:r>
      <w:proofErr w:type="spellStart"/>
      <w:r w:rsidR="004C6BC8">
        <w:rPr>
          <w:rFonts w:asciiTheme="minorHAnsi" w:eastAsiaTheme="minorHAnsi" w:hAnsiTheme="minorHAnsi" w:cs="BookAntiqua"/>
          <w:sz w:val="24"/>
          <w:szCs w:val="24"/>
          <w:lang w:eastAsia="en-US"/>
        </w:rPr>
        <w:t>Pavemetn</w:t>
      </w:r>
      <w:proofErr w:type="spellEnd"/>
      <w:r w:rsidR="004C6BC8">
        <w:rPr>
          <w:rFonts w:asciiTheme="minorHAnsi" w:eastAsiaTheme="minorHAnsi" w:hAnsiTheme="minorHAnsi" w:cs="BookAntiqua"/>
          <w:sz w:val="24"/>
          <w:szCs w:val="24"/>
          <w:lang w:eastAsia="en-US"/>
        </w:rPr>
        <w:t xml:space="preserve"> systems may be designed to detain stormwater in the aggregate for a period of two to five days.</w:t>
      </w:r>
    </w:p>
    <w:p w:rsidR="006F2A7A" w:rsidRPr="004C6BC8" w:rsidRDefault="00AF1B21" w:rsidP="00AF1B21">
      <w:pPr>
        <w:suppressAutoHyphens w:val="0"/>
        <w:autoSpaceDE w:val="0"/>
        <w:autoSpaceDN w:val="0"/>
        <w:adjustRightInd w:val="0"/>
        <w:spacing w:after="160"/>
        <w:ind w:left="630" w:hanging="450"/>
        <w:rPr>
          <w:rFonts w:asciiTheme="minorHAnsi" w:eastAsiaTheme="minorHAnsi" w:hAnsiTheme="minorHAnsi" w:cs="BookAntiqua"/>
          <w:lang w:eastAsia="en-US"/>
        </w:rPr>
      </w:pPr>
      <w:r>
        <w:rPr>
          <w:rFonts w:asciiTheme="minorHAnsi" w:eastAsiaTheme="minorHAnsi" w:hAnsiTheme="minorHAnsi" w:cs="BookAntiqua"/>
          <w:lang w:eastAsia="en-US"/>
        </w:rPr>
        <w:t>18</w:t>
      </w:r>
      <w:r w:rsidR="004C6BC8">
        <w:rPr>
          <w:rFonts w:asciiTheme="minorHAnsi" w:eastAsiaTheme="minorHAnsi" w:hAnsiTheme="minorHAnsi" w:cs="BookAntiqua"/>
          <w:lang w:eastAsia="en-US"/>
        </w:rPr>
        <w:t xml:space="preserve">.  DOWNSPOUT OUTLETS.  </w:t>
      </w:r>
      <w:r w:rsidR="006F2A7A" w:rsidRPr="00271A33">
        <w:rPr>
          <w:rFonts w:asciiTheme="minorHAnsi" w:eastAsiaTheme="minorHAnsi" w:hAnsiTheme="minorHAnsi" w:cs="BookAntiqua"/>
          <w:lang w:eastAsia="en-US"/>
        </w:rPr>
        <w:t>Downspout outlets or ground level impervious surfaces shall not drain more</w:t>
      </w:r>
      <w:r w:rsidR="004C6BC8">
        <w:rPr>
          <w:rFonts w:asciiTheme="minorHAnsi" w:eastAsiaTheme="minorHAnsi" w:hAnsiTheme="minorHAnsi" w:cs="BookAntiqua"/>
          <w:lang w:eastAsia="en-US"/>
        </w:rPr>
        <w:t xml:space="preserve"> </w:t>
      </w:r>
      <w:r w:rsidR="006F2A7A" w:rsidRPr="00271A33">
        <w:rPr>
          <w:rFonts w:asciiTheme="minorHAnsi" w:eastAsiaTheme="minorHAnsi" w:hAnsiTheme="minorHAnsi" w:cs="BookAntiqua"/>
          <w:lang w:eastAsia="en-US"/>
        </w:rPr>
        <w:t xml:space="preserve">than 1,000 </w:t>
      </w:r>
      <w:proofErr w:type="spellStart"/>
      <w:r w:rsidR="006F2A7A" w:rsidRPr="00271A33">
        <w:rPr>
          <w:rFonts w:asciiTheme="minorHAnsi" w:eastAsiaTheme="minorHAnsi" w:hAnsiTheme="minorHAnsi" w:cs="BookAntiqua"/>
          <w:lang w:eastAsia="en-US"/>
        </w:rPr>
        <w:t>sf</w:t>
      </w:r>
      <w:proofErr w:type="spellEnd"/>
      <w:r w:rsidR="006F2A7A" w:rsidRPr="00271A33">
        <w:rPr>
          <w:rFonts w:asciiTheme="minorHAnsi" w:eastAsiaTheme="minorHAnsi" w:hAnsiTheme="minorHAnsi" w:cs="BookAntiqua"/>
          <w:lang w:eastAsia="en-US"/>
        </w:rPr>
        <w:t xml:space="preserve"> to a single point onto the permeable pavement.</w:t>
      </w:r>
    </w:p>
    <w:p w:rsidR="00EE2FA3" w:rsidRPr="00271A33" w:rsidRDefault="00AF1B21" w:rsidP="00AF1B21">
      <w:pPr>
        <w:pStyle w:val="BodyText"/>
        <w:tabs>
          <w:tab w:val="left" w:pos="599"/>
        </w:tabs>
        <w:ind w:left="630" w:hanging="450"/>
        <w:rPr>
          <w:rFonts w:asciiTheme="minorHAnsi" w:hAnsiTheme="minorHAnsi"/>
          <w:sz w:val="24"/>
          <w:szCs w:val="24"/>
        </w:rPr>
      </w:pPr>
      <w:r>
        <w:rPr>
          <w:rFonts w:asciiTheme="minorHAnsi" w:hAnsiTheme="minorHAnsi"/>
          <w:sz w:val="24"/>
          <w:szCs w:val="24"/>
        </w:rPr>
        <w:t>19</w:t>
      </w:r>
      <w:r w:rsidR="00EE2FA3" w:rsidRPr="00271A33">
        <w:rPr>
          <w:rFonts w:asciiTheme="minorHAnsi" w:hAnsiTheme="minorHAnsi"/>
          <w:sz w:val="24"/>
          <w:szCs w:val="24"/>
        </w:rPr>
        <w:t>.</w:t>
      </w:r>
      <w:r w:rsidR="00EE2FA3" w:rsidRPr="00271A33">
        <w:rPr>
          <w:rFonts w:asciiTheme="minorHAnsi" w:hAnsiTheme="minorHAnsi"/>
          <w:sz w:val="24"/>
          <w:szCs w:val="24"/>
        </w:rPr>
        <w:tab/>
      </w:r>
      <w:r w:rsidR="004C6BC8">
        <w:rPr>
          <w:rFonts w:asciiTheme="minorHAnsi" w:hAnsiTheme="minorHAnsi"/>
          <w:sz w:val="24"/>
          <w:szCs w:val="24"/>
        </w:rPr>
        <w:t xml:space="preserve">GRADING WHEN DRY.  </w:t>
      </w:r>
      <w:r w:rsidR="00EE2FA3" w:rsidRPr="00271A33">
        <w:rPr>
          <w:rFonts w:asciiTheme="minorHAnsi" w:hAnsiTheme="minorHAnsi"/>
          <w:sz w:val="24"/>
          <w:szCs w:val="24"/>
        </w:rPr>
        <w:t>The soil subgrade for the permeable pavement shall be graded when dry.  The aggregate base and permeable surface course should be completed as quickly as possible to reduce risk of soil subgrade compaction.</w:t>
      </w:r>
    </w:p>
    <w:p w:rsidR="00EE2FA3" w:rsidRPr="00271A33" w:rsidRDefault="00AF1B21" w:rsidP="00AF1B21">
      <w:pPr>
        <w:tabs>
          <w:tab w:val="left" w:pos="599"/>
        </w:tabs>
        <w:spacing w:after="160"/>
        <w:ind w:left="630" w:hanging="450"/>
        <w:rPr>
          <w:rFonts w:asciiTheme="minorHAnsi" w:hAnsiTheme="minorHAnsi"/>
        </w:rPr>
      </w:pPr>
      <w:r>
        <w:rPr>
          <w:rFonts w:asciiTheme="minorHAnsi" w:hAnsiTheme="minorHAnsi"/>
        </w:rPr>
        <w:lastRenderedPageBreak/>
        <w:t>20</w:t>
      </w:r>
      <w:r w:rsidR="00EE2FA3" w:rsidRPr="00271A33">
        <w:rPr>
          <w:rFonts w:asciiTheme="minorHAnsi" w:hAnsiTheme="minorHAnsi"/>
        </w:rPr>
        <w:t>.</w:t>
      </w:r>
      <w:r w:rsidR="00EE2FA3" w:rsidRPr="00271A33">
        <w:rPr>
          <w:rFonts w:asciiTheme="minorHAnsi" w:hAnsiTheme="minorHAnsi"/>
        </w:rPr>
        <w:tab/>
      </w:r>
      <w:r>
        <w:rPr>
          <w:rFonts w:asciiTheme="minorHAnsi" w:hAnsiTheme="minorHAnsi"/>
        </w:rPr>
        <w:t xml:space="preserve">EDGE RESTRAINTS.  </w:t>
      </w:r>
      <w:r w:rsidR="00EE2FA3" w:rsidRPr="00271A33">
        <w:rPr>
          <w:rFonts w:asciiTheme="minorHAnsi" w:hAnsiTheme="minorHAnsi"/>
        </w:rPr>
        <w:t>Edge restraints shall be provided around the perimeter of permeable interlocking grid pavers as well as anywhere permeable pavement (of any type) is adjacent to conventional asphalt.</w:t>
      </w:r>
    </w:p>
    <w:p w:rsidR="00EE2FA3" w:rsidRPr="00271A33" w:rsidRDefault="00AF1B21" w:rsidP="00AF1B21">
      <w:pPr>
        <w:pStyle w:val="BodyText"/>
        <w:tabs>
          <w:tab w:val="left" w:pos="599"/>
        </w:tabs>
        <w:ind w:left="630" w:hanging="450"/>
        <w:rPr>
          <w:rFonts w:asciiTheme="minorHAnsi" w:hAnsiTheme="minorHAnsi"/>
          <w:b/>
          <w:bCs/>
          <w:sz w:val="24"/>
          <w:szCs w:val="24"/>
        </w:rPr>
      </w:pPr>
      <w:r>
        <w:rPr>
          <w:rFonts w:asciiTheme="minorHAnsi" w:hAnsiTheme="minorHAnsi"/>
          <w:sz w:val="24"/>
          <w:szCs w:val="24"/>
        </w:rPr>
        <w:t>21</w:t>
      </w:r>
      <w:r w:rsidR="00EE2FA3" w:rsidRPr="00271A33">
        <w:rPr>
          <w:rFonts w:asciiTheme="minorHAnsi" w:hAnsiTheme="minorHAnsi"/>
          <w:sz w:val="24"/>
          <w:szCs w:val="24"/>
        </w:rPr>
        <w:t>.</w:t>
      </w:r>
      <w:r w:rsidR="00EE2FA3" w:rsidRPr="00271A33">
        <w:rPr>
          <w:rFonts w:asciiTheme="minorHAnsi" w:hAnsiTheme="minorHAnsi"/>
          <w:sz w:val="24"/>
          <w:szCs w:val="24"/>
        </w:rPr>
        <w:tab/>
      </w:r>
      <w:r>
        <w:rPr>
          <w:rFonts w:asciiTheme="minorHAnsi" w:hAnsiTheme="minorHAnsi"/>
          <w:sz w:val="24"/>
          <w:szCs w:val="24"/>
        </w:rPr>
        <w:t xml:space="preserve">PERMEABLE PAVEMENT SIGNAGE.  </w:t>
      </w:r>
      <w:r w:rsidR="00EE2FA3" w:rsidRPr="00271A33">
        <w:rPr>
          <w:rFonts w:asciiTheme="minorHAnsi" w:hAnsiTheme="minorHAnsi"/>
          <w:sz w:val="24"/>
          <w:szCs w:val="24"/>
        </w:rPr>
        <w:t>Permeable pavement signage shall be clearly and permanently posted to prevent use by inappropriate vehicles, and the deposition and storage of particulate matter (except for single family residences, where signage is optional)</w:t>
      </w:r>
      <w:r w:rsidR="00EE2FA3" w:rsidRPr="00271A33">
        <w:rPr>
          <w:rFonts w:asciiTheme="minorHAnsi" w:hAnsiTheme="minorHAnsi"/>
          <w:b/>
          <w:bCs/>
          <w:sz w:val="24"/>
          <w:szCs w:val="24"/>
        </w:rPr>
        <w:t>.</w:t>
      </w:r>
    </w:p>
    <w:p w:rsidR="0079489E" w:rsidRPr="00271A33" w:rsidRDefault="0079489E" w:rsidP="002A4F24">
      <w:pPr>
        <w:rPr>
          <w:rFonts w:asciiTheme="minorHAnsi" w:hAnsiTheme="minorHAnsi"/>
        </w:rPr>
      </w:pPr>
    </w:p>
    <w:sectPr w:rsidR="0079489E" w:rsidRPr="00271A33" w:rsidSect="007948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TTE11BF4B0t00">
    <w:panose1 w:val="00000000000000000000"/>
    <w:charset w:val="00"/>
    <w:family w:val="auto"/>
    <w:notTrueType/>
    <w:pitch w:val="default"/>
    <w:sig w:usb0="00000003" w:usb1="00000000" w:usb2="00000000" w:usb3="00000000" w:csb0="00000001" w:csb1="00000000"/>
  </w:font>
  <w:font w:name="TTE11B56A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88F"/>
    <w:rsid w:val="00271A33"/>
    <w:rsid w:val="002A4F24"/>
    <w:rsid w:val="004C6BC8"/>
    <w:rsid w:val="006F2A7A"/>
    <w:rsid w:val="0079489E"/>
    <w:rsid w:val="007F7844"/>
    <w:rsid w:val="00A50041"/>
    <w:rsid w:val="00AF1B21"/>
    <w:rsid w:val="00B44911"/>
    <w:rsid w:val="00E2688F"/>
    <w:rsid w:val="00E55E63"/>
    <w:rsid w:val="00EE2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8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688F"/>
    <w:pPr>
      <w:spacing w:after="160"/>
    </w:pPr>
    <w:rPr>
      <w:rFonts w:ascii="Book Antiqua" w:hAnsi="Book Antiqua"/>
      <w:sz w:val="22"/>
      <w:szCs w:val="22"/>
    </w:rPr>
  </w:style>
  <w:style w:type="character" w:customStyle="1" w:styleId="BodyTextChar">
    <w:name w:val="Body Text Char"/>
    <w:basedOn w:val="DefaultParagraphFont"/>
    <w:link w:val="BodyText"/>
    <w:rsid w:val="00E2688F"/>
    <w:rPr>
      <w:rFonts w:ascii="Book Antiqua" w:eastAsia="Times New Roman" w:hAnsi="Book Antiqua" w:cs="Times New Roman"/>
      <w:lang w:eastAsia="ar-SA"/>
    </w:rPr>
  </w:style>
  <w:style w:type="character" w:customStyle="1" w:styleId="P2">
    <w:name w:val="P2"/>
    <w:uiPriority w:val="99"/>
    <w:rsid w:val="004C6BC8"/>
  </w:style>
  <w:style w:type="paragraph" w:customStyle="1" w:styleId="Paragraph">
    <w:name w:val="Paragraph"/>
    <w:basedOn w:val="Normal"/>
    <w:link w:val="ParagraphChar"/>
    <w:autoRedefine/>
    <w:rsid w:val="004C6BC8"/>
    <w:pPr>
      <w:ind w:left="450" w:hanging="450"/>
      <w:jc w:val="both"/>
    </w:pPr>
    <w:rPr>
      <w:sz w:val="20"/>
      <w:szCs w:val="20"/>
      <w:lang w:eastAsia="en-US"/>
    </w:rPr>
  </w:style>
  <w:style w:type="character" w:customStyle="1" w:styleId="ParagraphChar">
    <w:name w:val="Paragraph Char"/>
    <w:link w:val="Paragraph"/>
    <w:rsid w:val="004C6BC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0655E-3854-452A-B21A-E70455A8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2015-01-24T19:26:00Z</cp:lastPrinted>
  <dcterms:created xsi:type="dcterms:W3CDTF">2015-01-24T20:36:00Z</dcterms:created>
  <dcterms:modified xsi:type="dcterms:W3CDTF">2015-01-24T20:36:00Z</dcterms:modified>
</cp:coreProperties>
</file>