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B8A91" w14:textId="2E409BFF" w:rsidR="006A1670" w:rsidRDefault="006A1670" w:rsidP="006A1670">
      <w:pPr>
        <w:pStyle w:val="Heading1"/>
      </w:pPr>
      <w:r>
        <w:t>Nutrient Science Advisory Board Meeting, July 1, 2022</w:t>
      </w:r>
    </w:p>
    <w:p w14:paraId="7FAD4F36" w14:textId="1EB440CA" w:rsidR="00154287" w:rsidRPr="00154287" w:rsidRDefault="00154287" w:rsidP="00154287">
      <w:r>
        <w:t>9:30 a.m. – 12:00 p.m., Virtual Teams Meeting</w:t>
      </w:r>
    </w:p>
    <w:p w14:paraId="27350104" w14:textId="77777777" w:rsidR="00E06F58" w:rsidRPr="00E06F58" w:rsidRDefault="00E06F58" w:rsidP="00E06F58"/>
    <w:p w14:paraId="56FCCFE5" w14:textId="3F40EAF6" w:rsidR="004B79A1" w:rsidRDefault="00B64495" w:rsidP="006A1670">
      <w:pPr>
        <w:pStyle w:val="Heading2"/>
      </w:pPr>
      <w:r>
        <w:t>A</w:t>
      </w:r>
      <w:r w:rsidR="004B79A1">
        <w:t>ttend</w:t>
      </w:r>
      <w:r w:rsidR="00474660">
        <w:t>ees</w:t>
      </w:r>
      <w:r w:rsidR="004B79A1">
        <w:t>:</w:t>
      </w:r>
    </w:p>
    <w:p w14:paraId="1797EEFE" w14:textId="77777777" w:rsidR="00921472" w:rsidRDefault="00921472" w:rsidP="006E6B66">
      <w:pPr>
        <w:spacing w:after="0" w:line="240" w:lineRule="auto"/>
        <w:sectPr w:rsidR="00921472">
          <w:footerReference w:type="default" r:id="rId7"/>
          <w:pgSz w:w="12240" w:h="15840"/>
          <w:pgMar w:top="1440" w:right="1440" w:bottom="1440" w:left="1440" w:header="720" w:footer="720" w:gutter="0"/>
          <w:cols w:space="720"/>
          <w:docGrid w:linePitch="360"/>
        </w:sectPr>
      </w:pPr>
    </w:p>
    <w:p w14:paraId="4AAAB2B9" w14:textId="15AD5494" w:rsidR="00154287" w:rsidRPr="00154287" w:rsidRDefault="00154287" w:rsidP="006E6B66">
      <w:pPr>
        <w:spacing w:after="0" w:line="240" w:lineRule="auto"/>
        <w:rPr>
          <w:b/>
          <w:bCs/>
        </w:rPr>
      </w:pPr>
      <w:r w:rsidRPr="00154287">
        <w:rPr>
          <w:b/>
          <w:bCs/>
        </w:rPr>
        <w:t>Members</w:t>
      </w:r>
      <w:r>
        <w:rPr>
          <w:b/>
          <w:bCs/>
        </w:rPr>
        <w:t xml:space="preserve"> </w:t>
      </w:r>
      <w:r w:rsidRPr="00154287">
        <w:rPr>
          <w:b/>
          <w:bCs/>
        </w:rPr>
        <w:t>/</w:t>
      </w:r>
      <w:r>
        <w:rPr>
          <w:b/>
          <w:bCs/>
        </w:rPr>
        <w:t xml:space="preserve"> </w:t>
      </w:r>
      <w:r w:rsidRPr="00154287">
        <w:rPr>
          <w:b/>
          <w:bCs/>
        </w:rPr>
        <w:t>Advisors</w:t>
      </w:r>
    </w:p>
    <w:p w14:paraId="108EEECB" w14:textId="0426417B" w:rsidR="004B79A1" w:rsidRDefault="006D5CDE" w:rsidP="006E6B66">
      <w:pPr>
        <w:spacing w:after="0" w:line="240" w:lineRule="auto"/>
      </w:pPr>
      <w:r>
        <w:t>Mike Burchell</w:t>
      </w:r>
    </w:p>
    <w:p w14:paraId="50EB9764" w14:textId="368A3CDB" w:rsidR="006D5CDE" w:rsidRDefault="004D0AD2" w:rsidP="006E6B66">
      <w:pPr>
        <w:spacing w:after="0" w:line="240" w:lineRule="auto"/>
      </w:pPr>
      <w:r>
        <w:t>Charles Brown</w:t>
      </w:r>
    </w:p>
    <w:p w14:paraId="66BF37AA" w14:textId="58A22C40" w:rsidR="004D0AD2" w:rsidRDefault="00360B64" w:rsidP="006E6B66">
      <w:pPr>
        <w:spacing w:after="0" w:line="240" w:lineRule="auto"/>
      </w:pPr>
      <w:r>
        <w:t>Allison Weakley</w:t>
      </w:r>
    </w:p>
    <w:p w14:paraId="6C60A1F0" w14:textId="37E8534B" w:rsidR="00360B64" w:rsidRDefault="001C1780" w:rsidP="006E6B66">
      <w:pPr>
        <w:spacing w:after="0" w:line="240" w:lineRule="auto"/>
      </w:pPr>
      <w:r>
        <w:t>Drew Blake</w:t>
      </w:r>
    </w:p>
    <w:p w14:paraId="0FE42C89" w14:textId="143E1DBD" w:rsidR="00FB65A6" w:rsidRDefault="00BE2608" w:rsidP="006E6B66">
      <w:pPr>
        <w:spacing w:after="0" w:line="240" w:lineRule="auto"/>
      </w:pPr>
      <w:r>
        <w:t>Andy McDaniel</w:t>
      </w:r>
    </w:p>
    <w:p w14:paraId="06D20A03" w14:textId="3C080F4D" w:rsidR="00E06F58" w:rsidRDefault="00FB65A6" w:rsidP="006E6B66">
      <w:pPr>
        <w:spacing w:after="0" w:line="240" w:lineRule="auto"/>
      </w:pPr>
      <w:r>
        <w:t>Sandi Wilbur, JV Loperfido</w:t>
      </w:r>
    </w:p>
    <w:p w14:paraId="39B2D61B" w14:textId="7DC73E16" w:rsidR="00154287" w:rsidRDefault="00B64495" w:rsidP="00154287">
      <w:pPr>
        <w:spacing w:after="0" w:line="240" w:lineRule="auto"/>
      </w:pPr>
      <w:r>
        <w:t>Forrest Westall</w:t>
      </w:r>
      <w:r w:rsidR="00154287">
        <w:t>, Alix Matos</w:t>
      </w:r>
    </w:p>
    <w:p w14:paraId="5324A26F" w14:textId="75540763" w:rsidR="00B64495" w:rsidRDefault="00B64495" w:rsidP="006E6B66">
      <w:pPr>
        <w:spacing w:after="0" w:line="240" w:lineRule="auto"/>
      </w:pPr>
      <w:r>
        <w:t xml:space="preserve">Haywood </w:t>
      </w:r>
      <w:proofErr w:type="spellStart"/>
      <w:r>
        <w:t>Pthisic</w:t>
      </w:r>
      <w:proofErr w:type="spellEnd"/>
    </w:p>
    <w:p w14:paraId="748BFDA6" w14:textId="13B22542" w:rsidR="00B64495" w:rsidRDefault="006E6B66" w:rsidP="006E6B66">
      <w:pPr>
        <w:spacing w:after="0" w:line="240" w:lineRule="auto"/>
      </w:pPr>
      <w:r>
        <w:t xml:space="preserve">Sally Hoyt </w:t>
      </w:r>
    </w:p>
    <w:p w14:paraId="1DB8FE00" w14:textId="6D240E67" w:rsidR="006E6B66" w:rsidRDefault="006E6B66" w:rsidP="006E6B66">
      <w:pPr>
        <w:spacing w:after="0" w:line="240" w:lineRule="auto"/>
      </w:pPr>
      <w:r>
        <w:t>Bill Hunt</w:t>
      </w:r>
    </w:p>
    <w:p w14:paraId="63EA3BF1" w14:textId="68BB8715" w:rsidR="006E6B66" w:rsidRDefault="00417CCD" w:rsidP="00ED7E54">
      <w:pPr>
        <w:spacing w:after="0" w:line="240" w:lineRule="auto"/>
      </w:pPr>
      <w:r>
        <w:t>Sarah Waickowski</w:t>
      </w:r>
    </w:p>
    <w:p w14:paraId="74725338" w14:textId="60EF7AAF" w:rsidR="00BE2608" w:rsidRDefault="00BE2608" w:rsidP="00ED7E54">
      <w:pPr>
        <w:spacing w:after="0" w:line="240" w:lineRule="auto"/>
      </w:pPr>
    </w:p>
    <w:p w14:paraId="5E4288C7" w14:textId="1C7CBDD1" w:rsidR="00BE2608" w:rsidRPr="00BE2608" w:rsidRDefault="00BE2608" w:rsidP="00ED7E54">
      <w:pPr>
        <w:spacing w:after="0" w:line="240" w:lineRule="auto"/>
        <w:rPr>
          <w:b/>
          <w:bCs/>
        </w:rPr>
      </w:pPr>
      <w:r w:rsidRPr="00BE2608">
        <w:rPr>
          <w:b/>
          <w:bCs/>
        </w:rPr>
        <w:t>TJCOG Staff</w:t>
      </w:r>
    </w:p>
    <w:p w14:paraId="788ACD0B" w14:textId="6D9084C5" w:rsidR="00BE2608" w:rsidRDefault="00BE2608" w:rsidP="00ED7E54">
      <w:pPr>
        <w:spacing w:after="0" w:line="240" w:lineRule="auto"/>
      </w:pPr>
      <w:r>
        <w:t>Maya Cough-Schulze</w:t>
      </w:r>
    </w:p>
    <w:p w14:paraId="5C427E0A" w14:textId="7DEA24DD" w:rsidR="00BE2608" w:rsidRDefault="00BE2608" w:rsidP="00ED7E54">
      <w:pPr>
        <w:spacing w:after="0" w:line="240" w:lineRule="auto"/>
      </w:pPr>
    </w:p>
    <w:p w14:paraId="1A952D52" w14:textId="64E90522" w:rsidR="00BE2608" w:rsidRPr="00BE2608" w:rsidRDefault="00BE2608" w:rsidP="00ED7E54">
      <w:pPr>
        <w:spacing w:after="0" w:line="240" w:lineRule="auto"/>
        <w:rPr>
          <w:b/>
          <w:bCs/>
        </w:rPr>
      </w:pPr>
      <w:r w:rsidRPr="00BE2608">
        <w:rPr>
          <w:b/>
          <w:bCs/>
        </w:rPr>
        <w:t xml:space="preserve">DEQ Staff </w:t>
      </w:r>
    </w:p>
    <w:p w14:paraId="571D3439" w14:textId="77777777" w:rsidR="00474660" w:rsidRDefault="00474660" w:rsidP="00474660">
      <w:pPr>
        <w:spacing w:after="0" w:line="240" w:lineRule="auto"/>
      </w:pPr>
      <w:r>
        <w:t>Trish D’Arconte, DWR NPS Planning</w:t>
      </w:r>
    </w:p>
    <w:p w14:paraId="0A1CECD0" w14:textId="4D6A9E78" w:rsidR="00474660" w:rsidRDefault="00474660" w:rsidP="00474660">
      <w:pPr>
        <w:spacing w:after="0" w:line="240" w:lineRule="auto"/>
      </w:pPr>
      <w:r>
        <w:t>Jim Farkas, DE</w:t>
      </w:r>
      <w:r w:rsidR="00463CF2">
        <w:t>MLR</w:t>
      </w:r>
      <w:r>
        <w:t xml:space="preserve"> Stormwater</w:t>
      </w:r>
    </w:p>
    <w:p w14:paraId="19AC5AA8" w14:textId="1A587FCF" w:rsidR="00BE2608" w:rsidRDefault="00474660" w:rsidP="00ED7E54">
      <w:pPr>
        <w:spacing w:after="0" w:line="240" w:lineRule="auto"/>
      </w:pPr>
      <w:r>
        <w:t>Rich Gannon, DWR NPS Planning</w:t>
      </w:r>
    </w:p>
    <w:p w14:paraId="60681A52" w14:textId="49574F92" w:rsidR="00474660" w:rsidRDefault="00474660" w:rsidP="00474660">
      <w:pPr>
        <w:spacing w:after="0" w:line="240" w:lineRule="auto"/>
      </w:pPr>
      <w:r>
        <w:t>John Huisman, D</w:t>
      </w:r>
      <w:r w:rsidR="00463CF2">
        <w:t>WR</w:t>
      </w:r>
      <w:r>
        <w:t xml:space="preserve"> NPS Planning</w:t>
      </w:r>
    </w:p>
    <w:p w14:paraId="777CE3C1" w14:textId="08E2194E" w:rsidR="00463CF2" w:rsidRDefault="00463CF2" w:rsidP="00474660">
      <w:pPr>
        <w:spacing w:after="0" w:line="240" w:lineRule="auto"/>
      </w:pPr>
      <w:r>
        <w:t>Joey Hester, DWR NPS Planning</w:t>
      </w:r>
    </w:p>
    <w:p w14:paraId="2F3D7227" w14:textId="77777777" w:rsidR="00474660" w:rsidRDefault="00474660" w:rsidP="00474660">
      <w:pPr>
        <w:spacing w:after="0" w:line="240" w:lineRule="auto"/>
      </w:pPr>
    </w:p>
    <w:p w14:paraId="14C69388" w14:textId="703462A4" w:rsidR="00474660" w:rsidRPr="00463CF2" w:rsidRDefault="00463CF2" w:rsidP="00474660">
      <w:pPr>
        <w:spacing w:after="0" w:line="240" w:lineRule="auto"/>
        <w:rPr>
          <w:b/>
          <w:bCs/>
        </w:rPr>
      </w:pPr>
      <w:r w:rsidRPr="00463CF2">
        <w:rPr>
          <w:b/>
          <w:bCs/>
        </w:rPr>
        <w:t>Guests</w:t>
      </w:r>
    </w:p>
    <w:p w14:paraId="2A9C162E" w14:textId="5A76C690" w:rsidR="00ED7E54" w:rsidRDefault="00ED7E54" w:rsidP="00ED7E54">
      <w:pPr>
        <w:spacing w:after="0" w:line="240" w:lineRule="auto"/>
      </w:pPr>
      <w:r>
        <w:t>Ann Coan</w:t>
      </w:r>
    </w:p>
    <w:p w14:paraId="60406029" w14:textId="0F3BDA01" w:rsidR="00ED7E54" w:rsidRDefault="00ED7E54" w:rsidP="00ED7E54">
      <w:pPr>
        <w:spacing w:after="0" w:line="240" w:lineRule="auto"/>
      </w:pPr>
      <w:r>
        <w:t>Ashley Rodgers, Wake County</w:t>
      </w:r>
    </w:p>
    <w:p w14:paraId="0576FDD3" w14:textId="76B3CC04" w:rsidR="00ED7E54" w:rsidRDefault="00ED7E54" w:rsidP="00ED7E54">
      <w:pPr>
        <w:spacing w:after="0" w:line="240" w:lineRule="auto"/>
      </w:pPr>
      <w:r>
        <w:t>Barney Blackburn, Wake County</w:t>
      </w:r>
    </w:p>
    <w:p w14:paraId="4AE0663B" w14:textId="5A657A8D" w:rsidR="00ED7E54" w:rsidRDefault="00ED7E54" w:rsidP="00ED7E54">
      <w:pPr>
        <w:spacing w:after="0" w:line="240" w:lineRule="auto"/>
      </w:pPr>
      <w:r>
        <w:t xml:space="preserve">Jennifer </w:t>
      </w:r>
      <w:proofErr w:type="spellStart"/>
      <w:r>
        <w:t>Buzun</w:t>
      </w:r>
      <w:proofErr w:type="spellEnd"/>
      <w:r>
        <w:t>, Durham</w:t>
      </w:r>
    </w:p>
    <w:p w14:paraId="6CE0EB0D" w14:textId="4C7FC217" w:rsidR="00ED7E54" w:rsidRDefault="00ED7E54" w:rsidP="00ED7E54">
      <w:pPr>
        <w:spacing w:after="0" w:line="240" w:lineRule="auto"/>
      </w:pPr>
      <w:r>
        <w:t>Allie Dinwiddie, DSWC</w:t>
      </w:r>
    </w:p>
    <w:p w14:paraId="06A92EDB" w14:textId="6D054E7D" w:rsidR="00EF39CF" w:rsidRDefault="00EF39CF" w:rsidP="00ED7E54">
      <w:pPr>
        <w:spacing w:after="0" w:line="240" w:lineRule="auto"/>
      </w:pPr>
      <w:r>
        <w:t>Ian Shannon, Alamance County</w:t>
      </w:r>
    </w:p>
    <w:p w14:paraId="5CCF582A" w14:textId="6249A554" w:rsidR="00EF39CF" w:rsidRDefault="00EF39CF" w:rsidP="00ED7E54">
      <w:pPr>
        <w:spacing w:after="0" w:line="240" w:lineRule="auto"/>
      </w:pPr>
      <w:r>
        <w:t>Michael Irwin, Durham</w:t>
      </w:r>
    </w:p>
    <w:p w14:paraId="6427DD5A" w14:textId="215DDA19" w:rsidR="00EF39CF" w:rsidRDefault="00EF39CF" w:rsidP="00ED7E54">
      <w:pPr>
        <w:spacing w:after="0" w:line="240" w:lineRule="auto"/>
      </w:pPr>
      <w:r>
        <w:t>Jacob Dorman, Cont</w:t>
      </w:r>
      <w:r w:rsidR="00463CF2">
        <w:t>ech</w:t>
      </w:r>
      <w:r>
        <w:t xml:space="preserve"> Engineering</w:t>
      </w:r>
    </w:p>
    <w:p w14:paraId="33B833C1" w14:textId="79539FA6" w:rsidR="00EF39CF" w:rsidRDefault="00EF39CF" w:rsidP="00ED7E54">
      <w:pPr>
        <w:spacing w:after="0" w:line="240" w:lineRule="auto"/>
      </w:pPr>
      <w:r>
        <w:t>Keith</w:t>
      </w:r>
      <w:r w:rsidR="003908A6">
        <w:t xml:space="preserve"> </w:t>
      </w:r>
      <w:proofErr w:type="spellStart"/>
      <w:r w:rsidR="003908A6">
        <w:t>Larick</w:t>
      </w:r>
      <w:proofErr w:type="spellEnd"/>
      <w:r w:rsidR="003908A6">
        <w:t>, NC Farm Bureau</w:t>
      </w:r>
    </w:p>
    <w:p w14:paraId="594E0B0B" w14:textId="105E51F8" w:rsidR="003908A6" w:rsidRDefault="003908A6" w:rsidP="00ED7E54">
      <w:pPr>
        <w:spacing w:after="0" w:line="240" w:lineRule="auto"/>
      </w:pPr>
      <w:r>
        <w:t xml:space="preserve">McKenzie Myers, </w:t>
      </w:r>
      <w:r w:rsidR="00417CCD">
        <w:t>Durham County</w:t>
      </w:r>
    </w:p>
    <w:p w14:paraId="1A880E5A" w14:textId="7286157F" w:rsidR="00417CCD" w:rsidRDefault="00417CCD" w:rsidP="00ED7E54">
      <w:pPr>
        <w:spacing w:after="0" w:line="240" w:lineRule="auto"/>
      </w:pPr>
      <w:r>
        <w:t>Nancy Daly, Wake County</w:t>
      </w:r>
    </w:p>
    <w:p w14:paraId="46AF2EA7" w14:textId="6B63BEDB" w:rsidR="00417CCD" w:rsidRDefault="00417CCD" w:rsidP="00ED7E54">
      <w:pPr>
        <w:spacing w:after="0" w:line="240" w:lineRule="auto"/>
      </w:pPr>
      <w:r>
        <w:t xml:space="preserve">Lauren </w:t>
      </w:r>
      <w:proofErr w:type="spellStart"/>
      <w:r>
        <w:t>Neaves</w:t>
      </w:r>
      <w:proofErr w:type="spellEnd"/>
      <w:r>
        <w:t>, Durham County</w:t>
      </w:r>
    </w:p>
    <w:p w14:paraId="35CCFEB2" w14:textId="7D4A30D8" w:rsidR="00417CCD" w:rsidRDefault="00417CCD" w:rsidP="00ED7E54">
      <w:pPr>
        <w:spacing w:after="0" w:line="240" w:lineRule="auto"/>
      </w:pPr>
      <w:r>
        <w:t>Robert Patterson, Town of Apex</w:t>
      </w:r>
    </w:p>
    <w:p w14:paraId="51740DA1" w14:textId="3052319C" w:rsidR="00417CCD" w:rsidRDefault="00417CCD" w:rsidP="00ED7E54">
      <w:pPr>
        <w:spacing w:after="0" w:line="240" w:lineRule="auto"/>
      </w:pPr>
      <w:r>
        <w:t xml:space="preserve">Jamie </w:t>
      </w:r>
      <w:proofErr w:type="spellStart"/>
      <w:r>
        <w:t>Smedsmo</w:t>
      </w:r>
      <w:proofErr w:type="spellEnd"/>
      <w:r>
        <w:t>, UNC CH</w:t>
      </w:r>
    </w:p>
    <w:p w14:paraId="6663E42F" w14:textId="0718C0B4" w:rsidR="00417CCD" w:rsidRDefault="00417CCD" w:rsidP="00ED7E54">
      <w:pPr>
        <w:spacing w:after="0" w:line="240" w:lineRule="auto"/>
      </w:pPr>
      <w:r>
        <w:t>Teresa Andrews</w:t>
      </w:r>
      <w:r w:rsidR="00474660">
        <w:t>, AWCK</w:t>
      </w:r>
    </w:p>
    <w:p w14:paraId="02CA5319" w14:textId="7B84C9EA" w:rsidR="00EA0E41" w:rsidRDefault="00EA0E41" w:rsidP="00ED7E54">
      <w:pPr>
        <w:spacing w:after="0" w:line="240" w:lineRule="auto"/>
      </w:pPr>
      <w:proofErr w:type="spellStart"/>
      <w:r>
        <w:t>Brajesh</w:t>
      </w:r>
      <w:proofErr w:type="spellEnd"/>
      <w:r>
        <w:t xml:space="preserve"> Tiwari, Durham </w:t>
      </w:r>
    </w:p>
    <w:p w14:paraId="11F94A02" w14:textId="1F50D840" w:rsidR="00EA0E41" w:rsidRDefault="00EA0E41" w:rsidP="00ED7E54">
      <w:pPr>
        <w:spacing w:after="0" w:line="240" w:lineRule="auto"/>
      </w:pPr>
      <w:r>
        <w:t>Megan Walsh, Durham</w:t>
      </w:r>
    </w:p>
    <w:p w14:paraId="1A027892" w14:textId="7BD9662C" w:rsidR="00EA0E41" w:rsidRDefault="00EA0E41" w:rsidP="00ED7E54">
      <w:pPr>
        <w:spacing w:after="0" w:line="240" w:lineRule="auto"/>
      </w:pPr>
      <w:r>
        <w:t>Kelly Williams, NC DMS</w:t>
      </w:r>
    </w:p>
    <w:p w14:paraId="3AB85566" w14:textId="77777777" w:rsidR="00921472" w:rsidRDefault="00921472" w:rsidP="00ED7E54">
      <w:pPr>
        <w:spacing w:after="0" w:line="240" w:lineRule="auto"/>
        <w:sectPr w:rsidR="00921472" w:rsidSect="00921472">
          <w:type w:val="continuous"/>
          <w:pgSz w:w="12240" w:h="15840"/>
          <w:pgMar w:top="1440" w:right="1440" w:bottom="1440" w:left="1440" w:header="720" w:footer="720" w:gutter="0"/>
          <w:cols w:num="2" w:space="720"/>
          <w:docGrid w:linePitch="360"/>
        </w:sectPr>
      </w:pPr>
    </w:p>
    <w:p w14:paraId="6360EE61" w14:textId="77777777" w:rsidR="00474660" w:rsidRDefault="00474660" w:rsidP="003425EA">
      <w:pPr>
        <w:pStyle w:val="Heading1"/>
      </w:pPr>
    </w:p>
    <w:p w14:paraId="07B8651A" w14:textId="6ACA1437" w:rsidR="003425EA" w:rsidRDefault="00463CF2" w:rsidP="003425EA">
      <w:pPr>
        <w:pStyle w:val="Heading1"/>
      </w:pPr>
      <w:r>
        <w:t xml:space="preserve">AGENDA: </w:t>
      </w:r>
      <w:r w:rsidR="003425EA">
        <w:t>Standardiz</w:t>
      </w:r>
      <w:r w:rsidR="00CE5078">
        <w:t>ing</w:t>
      </w:r>
      <w:r w:rsidR="003425EA">
        <w:t xml:space="preserve"> Methods for </w:t>
      </w:r>
      <w:r w:rsidR="00342C88">
        <w:t xml:space="preserve">SCM </w:t>
      </w:r>
      <w:r w:rsidR="00CE5078">
        <w:t>Nutrient and TSS</w:t>
      </w:r>
      <w:r w:rsidR="003425EA">
        <w:t xml:space="preserve"> Crediting</w:t>
      </w:r>
      <w:r w:rsidR="00CE5078">
        <w:t xml:space="preserve"> </w:t>
      </w:r>
      <w:r w:rsidR="003425EA">
        <w:t>– Trish D’Arconte</w:t>
      </w:r>
    </w:p>
    <w:p w14:paraId="3B13F55B" w14:textId="7F99A021" w:rsidR="003425EA" w:rsidRDefault="00342C88" w:rsidP="003425EA">
      <w:r>
        <w:t xml:space="preserve">Presentation is available online at </w:t>
      </w:r>
      <w:hyperlink r:id="rId8" w:history="1">
        <w:r w:rsidR="00EA06F4" w:rsidRPr="00325DED">
          <w:rPr>
            <w:rStyle w:val="Hyperlink"/>
          </w:rPr>
          <w:t>www.deq.nc.gov/nps</w:t>
        </w:r>
      </w:hyperlink>
      <w:r w:rsidR="00EA06F4">
        <w:t xml:space="preserve"> </w:t>
      </w:r>
    </w:p>
    <w:p w14:paraId="43A101DB" w14:textId="77777777" w:rsidR="002650A1" w:rsidRPr="002650A1" w:rsidRDefault="002650A1" w:rsidP="003425EA">
      <w:pPr>
        <w:rPr>
          <w:sz w:val="16"/>
          <w:szCs w:val="16"/>
        </w:rPr>
      </w:pPr>
    </w:p>
    <w:p w14:paraId="12DB04E2" w14:textId="77777777" w:rsidR="002650A1" w:rsidRDefault="002650A1" w:rsidP="006A1670">
      <w:pPr>
        <w:pStyle w:val="Heading1"/>
      </w:pPr>
      <w:r>
        <w:t>Meeting Summary</w:t>
      </w:r>
    </w:p>
    <w:p w14:paraId="61F7EF06" w14:textId="77777777" w:rsidR="002650A1" w:rsidRPr="002650A1" w:rsidRDefault="002650A1" w:rsidP="002650A1">
      <w:pPr>
        <w:pStyle w:val="Heading2"/>
        <w:rPr>
          <w:sz w:val="16"/>
          <w:szCs w:val="16"/>
        </w:rPr>
      </w:pPr>
    </w:p>
    <w:p w14:paraId="3F9D59EB" w14:textId="2E1B2219" w:rsidR="00921472" w:rsidRPr="00B35BED" w:rsidRDefault="00921472" w:rsidP="002650A1">
      <w:pPr>
        <w:pStyle w:val="Heading2"/>
      </w:pPr>
      <w:r w:rsidRPr="00B35BED">
        <w:t xml:space="preserve">How DEQ </w:t>
      </w:r>
      <w:r w:rsidR="00FB7873" w:rsidRPr="00B35BED">
        <w:t xml:space="preserve">currently </w:t>
      </w:r>
      <w:r w:rsidRPr="00B35BED">
        <w:t>handles proposals for new SCMs/data</w:t>
      </w:r>
    </w:p>
    <w:p w14:paraId="793D847F" w14:textId="65BE8EF9" w:rsidR="00921472" w:rsidRDefault="001244B7" w:rsidP="00B35BED">
      <w:pPr>
        <w:pStyle w:val="ListParagraph"/>
        <w:numPr>
          <w:ilvl w:val="0"/>
          <w:numId w:val="2"/>
        </w:numPr>
        <w:ind w:left="720"/>
      </w:pPr>
      <w:r>
        <w:t>Apply to DEMLR NEST program for provisional installation of new SCM while monitoring performance</w:t>
      </w:r>
      <w:r w:rsidR="00376ACC">
        <w:t>, at two different sites</w:t>
      </w:r>
    </w:p>
    <w:p w14:paraId="600E8778" w14:textId="1E400693" w:rsidR="00376ACC" w:rsidRDefault="00B64A44" w:rsidP="00B35BED">
      <w:pPr>
        <w:pStyle w:val="ListParagraph"/>
        <w:numPr>
          <w:ilvl w:val="0"/>
          <w:numId w:val="2"/>
        </w:numPr>
        <w:ind w:left="720"/>
      </w:pPr>
      <w:r>
        <w:t>Entities monitoring must</w:t>
      </w:r>
      <w:r w:rsidR="00376ACC">
        <w:t xml:space="preserve"> </w:t>
      </w:r>
      <w:r w:rsidR="00FA22E4">
        <w:t>put together a QAPP</w:t>
      </w:r>
      <w:r w:rsidR="00F15AC8">
        <w:t xml:space="preserve">, </w:t>
      </w:r>
      <w:r w:rsidR="00FA22E4">
        <w:t>work with a researcher</w:t>
      </w:r>
      <w:r w:rsidR="00F15AC8">
        <w:t xml:space="preserve"> and </w:t>
      </w:r>
      <w:r w:rsidR="00FA22E4">
        <w:t>an outside lab</w:t>
      </w:r>
      <w:r w:rsidR="00F15AC8">
        <w:t>, and submit completed studies with proposed Minimum Design Criteria</w:t>
      </w:r>
    </w:p>
    <w:p w14:paraId="21734978" w14:textId="16376F58" w:rsidR="00B64A44" w:rsidRDefault="005F50DA" w:rsidP="00B35BED">
      <w:pPr>
        <w:pStyle w:val="ListParagraph"/>
        <w:numPr>
          <w:ilvl w:val="0"/>
          <w:numId w:val="2"/>
        </w:numPr>
        <w:ind w:left="720"/>
      </w:pPr>
      <w:r>
        <w:lastRenderedPageBreak/>
        <w:t>SCMs must meet minimum performance</w:t>
      </w:r>
      <w:r w:rsidR="00CD60B4">
        <w:t xml:space="preserve"> for primary/secondary SCMs; approval = formal design requirements and performance rating</w:t>
      </w:r>
    </w:p>
    <w:p w14:paraId="755B4E37" w14:textId="77777777" w:rsidR="00B35BED" w:rsidRDefault="00CD60B4" w:rsidP="00B35BED">
      <w:pPr>
        <w:pStyle w:val="ListParagraph"/>
        <w:numPr>
          <w:ilvl w:val="0"/>
          <w:numId w:val="2"/>
        </w:numPr>
        <w:ind w:left="720"/>
      </w:pPr>
      <w:r>
        <w:t xml:space="preserve">No current process to formalize updating existing SCM nutrient performance/design requirements; </w:t>
      </w:r>
      <w:r w:rsidR="00BC6E19">
        <w:t>this would be helpful but is not allowed within stormwater rules.</w:t>
      </w:r>
    </w:p>
    <w:p w14:paraId="69934942" w14:textId="77777777" w:rsidR="00B35BED" w:rsidRPr="00B35BED" w:rsidRDefault="00B35BED" w:rsidP="002650A1">
      <w:pPr>
        <w:pStyle w:val="Heading2"/>
      </w:pPr>
      <w:r w:rsidRPr="00B35BED">
        <w:t>Issues with Current Approach</w:t>
      </w:r>
    </w:p>
    <w:p w14:paraId="2A2895F8" w14:textId="0CB06FB9" w:rsidR="00FF6F72" w:rsidRDefault="00B35BED" w:rsidP="00B35BED">
      <w:pPr>
        <w:pStyle w:val="ListParagraph"/>
        <w:numPr>
          <w:ilvl w:val="0"/>
          <w:numId w:val="3"/>
        </w:numPr>
      </w:pPr>
      <w:r>
        <w:t>NEST</w:t>
      </w:r>
      <w:r w:rsidR="00FF6F72">
        <w:t xml:space="preserve"> instructions </w:t>
      </w:r>
      <w:r w:rsidR="002650A1">
        <w:t xml:space="preserve">only so detailed, gaps in nutrients approach, </w:t>
      </w:r>
      <w:r w:rsidR="00FF6F72">
        <w:t>separate from SCM Credit Document</w:t>
      </w:r>
    </w:p>
    <w:p w14:paraId="53B9A66F" w14:textId="039AA64C" w:rsidR="007B4F14" w:rsidRDefault="007B4F14" w:rsidP="00B35BED">
      <w:pPr>
        <w:pStyle w:val="ListParagraph"/>
        <w:numPr>
          <w:ilvl w:val="0"/>
          <w:numId w:val="3"/>
        </w:numPr>
      </w:pPr>
      <w:r>
        <w:t>NEST is for new practices, no documentation of approach used for existing practices</w:t>
      </w:r>
    </w:p>
    <w:p w14:paraId="5EEA6EE6" w14:textId="493F6047" w:rsidR="007B4F14" w:rsidRDefault="007B4F14" w:rsidP="00B35BED">
      <w:pPr>
        <w:pStyle w:val="ListParagraph"/>
        <w:numPr>
          <w:ilvl w:val="0"/>
          <w:numId w:val="3"/>
        </w:numPr>
      </w:pPr>
      <w:r>
        <w:t>Mixture of approaches used to assign nutrient values to existing practices</w:t>
      </w:r>
    </w:p>
    <w:p w14:paraId="7D799154" w14:textId="729AE7E5" w:rsidR="00921472" w:rsidRPr="00B24827" w:rsidRDefault="00921472" w:rsidP="00B24827">
      <w:pPr>
        <w:rPr>
          <w:color w:val="2F5496" w:themeColor="accent1" w:themeShade="BF"/>
          <w:sz w:val="24"/>
          <w:szCs w:val="24"/>
        </w:rPr>
      </w:pPr>
      <w:r w:rsidRPr="00B24827">
        <w:rPr>
          <w:color w:val="2F5496" w:themeColor="accent1" w:themeShade="BF"/>
          <w:sz w:val="24"/>
          <w:szCs w:val="24"/>
        </w:rPr>
        <w:t xml:space="preserve">Proposed </w:t>
      </w:r>
      <w:r w:rsidR="004C76BB" w:rsidRPr="00B24827">
        <w:rPr>
          <w:color w:val="2F5496" w:themeColor="accent1" w:themeShade="BF"/>
          <w:sz w:val="24"/>
          <w:szCs w:val="24"/>
        </w:rPr>
        <w:t>Changes to SCM D</w:t>
      </w:r>
      <w:r w:rsidRPr="00B24827">
        <w:rPr>
          <w:color w:val="2F5496" w:themeColor="accent1" w:themeShade="BF"/>
          <w:sz w:val="24"/>
          <w:szCs w:val="24"/>
        </w:rPr>
        <w:t xml:space="preserve">ata </w:t>
      </w:r>
      <w:r w:rsidR="004C76BB" w:rsidRPr="00B24827">
        <w:rPr>
          <w:color w:val="2F5496" w:themeColor="accent1" w:themeShade="BF"/>
          <w:sz w:val="24"/>
          <w:szCs w:val="24"/>
        </w:rPr>
        <w:t>S</w:t>
      </w:r>
      <w:r w:rsidRPr="00B24827">
        <w:rPr>
          <w:color w:val="2F5496" w:themeColor="accent1" w:themeShade="BF"/>
          <w:sz w:val="24"/>
          <w:szCs w:val="24"/>
        </w:rPr>
        <w:t xml:space="preserve">tandards and </w:t>
      </w:r>
      <w:r w:rsidR="004C76BB" w:rsidRPr="00B24827">
        <w:rPr>
          <w:color w:val="2F5496" w:themeColor="accent1" w:themeShade="BF"/>
          <w:sz w:val="24"/>
          <w:szCs w:val="24"/>
        </w:rPr>
        <w:t>E</w:t>
      </w:r>
      <w:r w:rsidRPr="00B24827">
        <w:rPr>
          <w:color w:val="2F5496" w:themeColor="accent1" w:themeShade="BF"/>
          <w:sz w:val="24"/>
          <w:szCs w:val="24"/>
        </w:rPr>
        <w:t>valuation for SCMs</w:t>
      </w:r>
    </w:p>
    <w:p w14:paraId="4BE1A7A1" w14:textId="26A20CC9" w:rsidR="00921472" w:rsidRDefault="002357F8">
      <w:r>
        <w:rPr>
          <w:noProof/>
        </w:rPr>
        <w:drawing>
          <wp:inline distT="0" distB="0" distL="0" distR="0" wp14:anchorId="31D12F9F" wp14:editId="042EAED5">
            <wp:extent cx="5943600" cy="2519045"/>
            <wp:effectExtent l="0" t="0" r="0" b="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9"/>
                    <a:stretch>
                      <a:fillRect/>
                    </a:stretch>
                  </pic:blipFill>
                  <pic:spPr>
                    <a:xfrm>
                      <a:off x="0" y="0"/>
                      <a:ext cx="5943600" cy="2519045"/>
                    </a:xfrm>
                    <a:prstGeom prst="rect">
                      <a:avLst/>
                    </a:prstGeom>
                  </pic:spPr>
                </pic:pic>
              </a:graphicData>
            </a:graphic>
          </wp:inline>
        </w:drawing>
      </w:r>
    </w:p>
    <w:p w14:paraId="27E7DFF3" w14:textId="77777777" w:rsidR="00577B2C" w:rsidRDefault="00837917" w:rsidP="00577B2C">
      <w:r>
        <w:t>TSS: Use influent TSS data from NC and published studies from outside NC to establish acceptable minimum influent concentration</w:t>
      </w:r>
    </w:p>
    <w:p w14:paraId="2EBDBE3B" w14:textId="245D0B16" w:rsidR="00577B2C" w:rsidRPr="00577B2C" w:rsidRDefault="00577B2C" w:rsidP="009D6747">
      <w:pPr>
        <w:pStyle w:val="Heading2"/>
      </w:pPr>
      <w:r w:rsidRPr="00577B2C">
        <w:t>Discussion</w:t>
      </w:r>
    </w:p>
    <w:p w14:paraId="306663BF" w14:textId="63FE45EC" w:rsidR="00577B2C" w:rsidRDefault="00E04367" w:rsidP="00577B2C">
      <w:r>
        <w:t>Sally Hoyt has concerns about difference in number of studies for proprietary and non-proprietary studies</w:t>
      </w:r>
    </w:p>
    <w:p w14:paraId="5C9F2777" w14:textId="03965042" w:rsidR="00E04367" w:rsidRDefault="00E04367" w:rsidP="00577B2C">
      <w:r>
        <w:t xml:space="preserve">Trish D’Arconte would like to see four studies for all types. However, recent studies by Bill Hunt and others have uncovered </w:t>
      </w:r>
      <w:r w:rsidR="00104CBA">
        <w:t xml:space="preserve">that some published, approved SCM types only had two studies done and there is no way to update </w:t>
      </w:r>
      <w:r w:rsidR="00EE2385">
        <w:t>that</w:t>
      </w:r>
      <w:r w:rsidR="00104CBA">
        <w:t xml:space="preserve"> in the rules right now.</w:t>
      </w:r>
      <w:r w:rsidR="00EE2385">
        <w:t xml:space="preserve"> </w:t>
      </w:r>
      <w:proofErr w:type="gramStart"/>
      <w:r w:rsidR="00EE2385">
        <w:t>So</w:t>
      </w:r>
      <w:proofErr w:type="gramEnd"/>
      <w:r w:rsidR="00EE2385">
        <w:t xml:space="preserve"> they are hoping to give tentative approval with two studies and in future try to require four studies.</w:t>
      </w:r>
    </w:p>
    <w:p w14:paraId="158B25BD" w14:textId="42DBB5FD" w:rsidR="00BC083C" w:rsidRDefault="00BC083C" w:rsidP="00577B2C">
      <w:r>
        <w:t>Andy McDaniel asked what DEMLR’s opinion was of moving the NEST chapter to the SCM Credit Document?</w:t>
      </w:r>
    </w:p>
    <w:p w14:paraId="4435A558" w14:textId="548768A3" w:rsidR="00BC083C" w:rsidRDefault="00BC083C" w:rsidP="00577B2C">
      <w:r>
        <w:t xml:space="preserve">Trish </w:t>
      </w:r>
      <w:r w:rsidR="001548C9">
        <w:t>clarified they have been worked closely with DEMLR on this and they are all in agreement.</w:t>
      </w:r>
    </w:p>
    <w:p w14:paraId="6E6D3B8F" w14:textId="731DB00E" w:rsidR="001548C9" w:rsidRDefault="001548C9" w:rsidP="00577B2C">
      <w:r>
        <w:t>Andy also asked how they define a study – collecting data at a discrete physical location?</w:t>
      </w:r>
    </w:p>
    <w:p w14:paraId="61D43DA5" w14:textId="22856919" w:rsidR="001548C9" w:rsidRDefault="001548C9" w:rsidP="00577B2C">
      <w:r>
        <w:t xml:space="preserve">Trish: Current approach: </w:t>
      </w:r>
      <w:r w:rsidR="008D354D">
        <w:t>One study could look at four unique installations</w:t>
      </w:r>
    </w:p>
    <w:p w14:paraId="4B976179" w14:textId="209E083B" w:rsidR="008D354D" w:rsidRDefault="008D354D" w:rsidP="00577B2C">
      <w:r>
        <w:lastRenderedPageBreak/>
        <w:t xml:space="preserve">Andy: </w:t>
      </w:r>
      <w:r w:rsidR="00867120">
        <w:t>How do you define s</w:t>
      </w:r>
      <w:r>
        <w:t xml:space="preserve">tudies </w:t>
      </w:r>
      <w:r w:rsidR="00867120">
        <w:t xml:space="preserve">being </w:t>
      </w:r>
      <w:r>
        <w:t>in NC Ecoregion</w:t>
      </w:r>
      <w:r w:rsidR="00867120">
        <w:t>?</w:t>
      </w:r>
    </w:p>
    <w:p w14:paraId="7B01112F" w14:textId="70514691" w:rsidR="008D354D" w:rsidRDefault="008D354D" w:rsidP="00577B2C">
      <w:r>
        <w:t xml:space="preserve">Trish: </w:t>
      </w:r>
      <w:proofErr w:type="spellStart"/>
      <w:r>
        <w:t>Omernik</w:t>
      </w:r>
      <w:proofErr w:type="spellEnd"/>
      <w:r>
        <w:t xml:space="preserve"> Level 3 Ecoregion </w:t>
      </w:r>
      <w:r w:rsidR="00CF322E">
        <w:t>–</w:t>
      </w:r>
      <w:r>
        <w:t xml:space="preserve"> </w:t>
      </w:r>
      <w:r w:rsidR="00CF322E">
        <w:t xml:space="preserve">Mountains, Piedmont, Inner and Outer Coastal Plain. If you are in one of these shared with NC, and have a similar </w:t>
      </w:r>
      <w:r w:rsidR="003A76CA">
        <w:t xml:space="preserve">growing zone </w:t>
      </w:r>
      <w:r w:rsidR="00CF322E">
        <w:t xml:space="preserve">and rainfall patterns, studies are eligible. </w:t>
      </w:r>
      <w:r w:rsidR="00867120">
        <w:t xml:space="preserve">Or at least similar growing zone and rainfall patterns as some part of NC – </w:t>
      </w:r>
      <w:proofErr w:type="spellStart"/>
      <w:r w:rsidR="00867120">
        <w:t>ie</w:t>
      </w:r>
      <w:proofErr w:type="spellEnd"/>
      <w:r w:rsidR="00867120">
        <w:t>, coastal NJ.</w:t>
      </w:r>
    </w:p>
    <w:p w14:paraId="661633D2" w14:textId="5458F2D6" w:rsidR="00867120" w:rsidRDefault="00867120" w:rsidP="00577B2C">
      <w:r>
        <w:t xml:space="preserve">Andy: </w:t>
      </w:r>
      <w:r w:rsidR="003A76CA">
        <w:t>Would be good to clarify growing zone means USDA hardiness zone and clarify what rainfall pattern means</w:t>
      </w:r>
    </w:p>
    <w:p w14:paraId="199132E3" w14:textId="74E61973" w:rsidR="00A65FB7" w:rsidRDefault="00A65FB7" w:rsidP="00577B2C">
      <w:r>
        <w:t>Trish: Average annual rainfall comparable to NC</w:t>
      </w:r>
    </w:p>
    <w:p w14:paraId="3F598AFD" w14:textId="502D3082" w:rsidR="003A76CA" w:rsidRDefault="003A76CA" w:rsidP="00577B2C">
      <w:r>
        <w:t xml:space="preserve">Jacob Dorman: </w:t>
      </w:r>
      <w:r w:rsidR="00A0153E">
        <w:t xml:space="preserve">Can appreciate wanting more studies but want to be careful of discouraging innovation. Proprietary SCMs </w:t>
      </w:r>
      <w:r w:rsidR="008A641D">
        <w:t xml:space="preserve">are used in highly urban areas. Four studies could take </w:t>
      </w:r>
      <w:r w:rsidR="00083789">
        <w:t>8-10</w:t>
      </w:r>
      <w:r w:rsidR="008A641D">
        <w:t xml:space="preserve"> years. Could it be possible to address concerns about quality of data without requiring more studies?</w:t>
      </w:r>
    </w:p>
    <w:p w14:paraId="64D23244" w14:textId="0EF8DF59" w:rsidR="00083789" w:rsidRDefault="00083789" w:rsidP="00577B2C">
      <w:r>
        <w:t xml:space="preserve">Trish: We will want to maintain two sites minimum for provisional EMC and SCM design requirements. We wanted to be able to have the flexibility to require changes to the design requirements if future studies found </w:t>
      </w:r>
      <w:r w:rsidR="0016233D">
        <w:t>issues</w:t>
      </w:r>
      <w:r>
        <w:t>.</w:t>
      </w:r>
      <w:r w:rsidR="0016233D">
        <w:t xml:space="preserve"> Data quality may not help us with this – it’s about site and design specifics.</w:t>
      </w:r>
    </w:p>
    <w:p w14:paraId="7AF40426" w14:textId="126A10AD" w:rsidR="00C870DF" w:rsidRDefault="00B9043E" w:rsidP="00577B2C">
      <w:r>
        <w:t>Jacob: That’s a fair way to go – the other consideration is, will this be a full reset where we look at every practice? Studies in progress are using existing values.</w:t>
      </w:r>
      <w:r w:rsidR="000D22D4">
        <w:t xml:space="preserve"> And TSS vs nutrients – 2 or 4?</w:t>
      </w:r>
    </w:p>
    <w:p w14:paraId="6908DA07" w14:textId="2B0E1EC5" w:rsidR="000D22D4" w:rsidRDefault="000D22D4" w:rsidP="00577B2C">
      <w:r>
        <w:t xml:space="preserve">Trish asks Jim Farkas </w:t>
      </w:r>
      <w:r w:rsidR="00A003E9">
        <w:t>–</w:t>
      </w:r>
      <w:r>
        <w:t xml:space="preserve"> </w:t>
      </w:r>
      <w:r w:rsidR="00A003E9">
        <w:t>nothing conclusive yet</w:t>
      </w:r>
    </w:p>
    <w:p w14:paraId="5F1E80BA" w14:textId="26282A97" w:rsidR="00A003E9" w:rsidRDefault="00A003E9" w:rsidP="00577B2C">
      <w:r>
        <w:t xml:space="preserve">Jacob: </w:t>
      </w:r>
      <w:r w:rsidR="004E61F1">
        <w:t xml:space="preserve">Practices currently credited that need additional studies will need time to test/monitor – maybe should have </w:t>
      </w:r>
      <w:proofErr w:type="gramStart"/>
      <w:r w:rsidR="004E61F1">
        <w:t>some kind of grandfathering</w:t>
      </w:r>
      <w:proofErr w:type="gramEnd"/>
      <w:r w:rsidR="004E61F1">
        <w:t xml:space="preserve"> to give them time</w:t>
      </w:r>
    </w:p>
    <w:p w14:paraId="71C4C9B6" w14:textId="0B29D2D1" w:rsidR="00D530F9" w:rsidRDefault="00BB2E4E" w:rsidP="00577B2C">
      <w:r>
        <w:t xml:space="preserve">Trish: Any practices installed maintains its credit. Anything in progress keeps its calculation process. </w:t>
      </w:r>
    </w:p>
    <w:p w14:paraId="4A71A7AA" w14:textId="4CF50200" w:rsidR="0075272F" w:rsidRDefault="0075272F" w:rsidP="00577B2C">
      <w:r>
        <w:t>Sally Hoyt: Because of the lead time to do a research study</w:t>
      </w:r>
      <w:r w:rsidR="00F94883">
        <w:t xml:space="preserve"> – for those in the process of studies, what rules will apply? </w:t>
      </w:r>
    </w:p>
    <w:p w14:paraId="6507B436" w14:textId="220485BB" w:rsidR="0012781C" w:rsidRDefault="0012781C" w:rsidP="00577B2C">
      <w:r>
        <w:t xml:space="preserve">Trish: Anyone in the NEST process should have talked to us on the front end (to get QAPP approved, </w:t>
      </w:r>
      <w:proofErr w:type="spellStart"/>
      <w:r>
        <w:t>etc</w:t>
      </w:r>
      <w:proofErr w:type="spellEnd"/>
      <w:r>
        <w:t>)</w:t>
      </w:r>
    </w:p>
    <w:p w14:paraId="4D8813E2" w14:textId="73859C51" w:rsidR="0012781C" w:rsidRDefault="0012781C" w:rsidP="00577B2C">
      <w:r>
        <w:t xml:space="preserve">Sally: Does not see the need for there to be one study in NC. If studies meet ecoregions and other similar qualities as NC, </w:t>
      </w:r>
      <w:r w:rsidR="005547DE">
        <w:t>(</w:t>
      </w:r>
      <w:proofErr w:type="spellStart"/>
      <w:r w:rsidR="005547DE">
        <w:t>ie</w:t>
      </w:r>
      <w:proofErr w:type="spellEnd"/>
      <w:r w:rsidR="005547DE">
        <w:t>, perhaps in VA), those should be able to be the studies. This would allow us to rely on the network of engineers working in similar conditions.</w:t>
      </w:r>
    </w:p>
    <w:p w14:paraId="6730ABD4" w14:textId="0204E1BF" w:rsidR="005547DE" w:rsidRDefault="005547DE" w:rsidP="00577B2C">
      <w:r>
        <w:t xml:space="preserve">Trish: We will </w:t>
      </w:r>
      <w:proofErr w:type="gramStart"/>
      <w:r>
        <w:t>look into</w:t>
      </w:r>
      <w:proofErr w:type="gramEnd"/>
      <w:r>
        <w:t xml:space="preserve"> the possibility with DEMLR- this requirement originated with their original NEST program</w:t>
      </w:r>
    </w:p>
    <w:p w14:paraId="272C670B" w14:textId="3CFD60F3" w:rsidR="005547DE" w:rsidRDefault="005547DE" w:rsidP="00577B2C">
      <w:proofErr w:type="spellStart"/>
      <w:r>
        <w:t>Brajesh</w:t>
      </w:r>
      <w:proofErr w:type="spellEnd"/>
      <w:r w:rsidR="00BB3EC4">
        <w:t xml:space="preserve"> Tiwari</w:t>
      </w:r>
      <w:r>
        <w:t>: Could we require “one in NC or equivalent region”</w:t>
      </w:r>
      <w:r w:rsidR="0067345D">
        <w:t xml:space="preserve"> and define “equivalent region”?</w:t>
      </w:r>
    </w:p>
    <w:p w14:paraId="21A73596" w14:textId="315CF5E0" w:rsidR="00C02695" w:rsidRDefault="00C02695" w:rsidP="00577B2C">
      <w:r>
        <w:t xml:space="preserve">Andy McDaniel: There are hundreds of </w:t>
      </w:r>
      <w:r w:rsidR="00A417C8">
        <w:t xml:space="preserve">stormwater </w:t>
      </w:r>
      <w:r>
        <w:t xml:space="preserve">research projects across the country </w:t>
      </w:r>
      <w:r w:rsidR="00A417C8">
        <w:t>–</w:t>
      </w:r>
      <w:r>
        <w:t xml:space="preserve"> </w:t>
      </w:r>
      <w:r w:rsidR="00A417C8">
        <w:t xml:space="preserve">may be good to stipulate </w:t>
      </w:r>
      <w:r w:rsidR="00BB3EC4">
        <w:t xml:space="preserve">that the purpose is evaluating SCM performance across NC conditions, and about </w:t>
      </w:r>
      <w:r w:rsidR="00B745DB">
        <w:t xml:space="preserve">the experimental design, </w:t>
      </w:r>
      <w:r w:rsidR="00A417C8">
        <w:t>that the research studies evaluate annual load reduction</w:t>
      </w:r>
      <w:r w:rsidR="00B745DB">
        <w:t>s</w:t>
      </w:r>
    </w:p>
    <w:p w14:paraId="7746B31F" w14:textId="11B918D8" w:rsidR="00B745DB" w:rsidRDefault="00BB3EC4" w:rsidP="00577B2C">
      <w:r>
        <w:t xml:space="preserve">Trish: We will </w:t>
      </w:r>
      <w:proofErr w:type="gramStart"/>
      <w:r>
        <w:t>look into</w:t>
      </w:r>
      <w:proofErr w:type="gramEnd"/>
      <w:r>
        <w:t xml:space="preserve"> that and clarify if needed.</w:t>
      </w:r>
    </w:p>
    <w:p w14:paraId="154CA050" w14:textId="0587330A" w:rsidR="00921472" w:rsidRPr="00577B2C" w:rsidRDefault="00921472" w:rsidP="00B24827">
      <w:pPr>
        <w:pStyle w:val="Heading2"/>
      </w:pPr>
      <w:r w:rsidRPr="00577B2C">
        <w:lastRenderedPageBreak/>
        <w:t>Unresolved issues</w:t>
      </w:r>
    </w:p>
    <w:p w14:paraId="3AADF298" w14:textId="52F44709" w:rsidR="00921472" w:rsidRDefault="003823D9">
      <w:r>
        <w:rPr>
          <w:noProof/>
        </w:rPr>
        <w:drawing>
          <wp:inline distT="0" distB="0" distL="0" distR="0" wp14:anchorId="0055F8A5" wp14:editId="219AD82D">
            <wp:extent cx="5943600" cy="2570480"/>
            <wp:effectExtent l="0" t="0" r="0" b="127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0"/>
                    <a:stretch>
                      <a:fillRect/>
                    </a:stretch>
                  </pic:blipFill>
                  <pic:spPr>
                    <a:xfrm>
                      <a:off x="0" y="0"/>
                      <a:ext cx="5943600" cy="2570480"/>
                    </a:xfrm>
                    <a:prstGeom prst="rect">
                      <a:avLst/>
                    </a:prstGeom>
                  </pic:spPr>
                </pic:pic>
              </a:graphicData>
            </a:graphic>
          </wp:inline>
        </w:drawing>
      </w:r>
    </w:p>
    <w:p w14:paraId="69D5BD06" w14:textId="77777777" w:rsidR="00904750" w:rsidRDefault="00FA1740">
      <w:r>
        <w:t xml:space="preserve">Trish and Sarah Waickowski have put </w:t>
      </w:r>
      <w:r w:rsidR="00904750">
        <w:t xml:space="preserve">all studies in a database and </w:t>
      </w:r>
      <w:r w:rsidR="00000F67">
        <w:t xml:space="preserve">Trish </w:t>
      </w:r>
      <w:r>
        <w:t>is working</w:t>
      </w:r>
      <w:r w:rsidR="00000F67">
        <w:t xml:space="preserve"> to replicate </w:t>
      </w:r>
      <w:r>
        <w:t>NCSU</w:t>
      </w:r>
      <w:r w:rsidR="00000F67">
        <w:t xml:space="preserve"> calculations so that DEQ can keep SCM calculations </w:t>
      </w:r>
      <w:r>
        <w:t>“living” and update.</w:t>
      </w:r>
      <w:r w:rsidR="00904750">
        <w:t xml:space="preserve"> </w:t>
      </w:r>
    </w:p>
    <w:p w14:paraId="331072AA" w14:textId="76402114" w:rsidR="003823D9" w:rsidRDefault="00904750">
      <w:r>
        <w:t xml:space="preserve">Some studies do not have raw data available; hence using means not medias above. </w:t>
      </w:r>
    </w:p>
    <w:p w14:paraId="2A2EB1D5" w14:textId="1F1D60C8" w:rsidR="00242C49" w:rsidRDefault="00210B74" w:rsidP="00577B2C">
      <w:r>
        <w:t>Considering making DIS EMCs same as managed pervious</w:t>
      </w:r>
    </w:p>
    <w:p w14:paraId="1263EF45" w14:textId="442BC30D" w:rsidR="00A9723D" w:rsidRDefault="00A9723D" w:rsidP="00577B2C">
      <w:r>
        <w:t>How to evaluate SCMs with variants?</w:t>
      </w:r>
    </w:p>
    <w:p w14:paraId="54E4B1EC" w14:textId="6FDA47EA" w:rsidR="00921472" w:rsidRPr="00B24827" w:rsidRDefault="00B24827" w:rsidP="00B24827">
      <w:pPr>
        <w:rPr>
          <w:color w:val="2F5496" w:themeColor="accent1" w:themeShade="BF"/>
          <w:sz w:val="24"/>
          <w:szCs w:val="24"/>
        </w:rPr>
      </w:pPr>
      <w:r>
        <w:rPr>
          <w:color w:val="2F5496" w:themeColor="accent1" w:themeShade="BF"/>
          <w:sz w:val="24"/>
          <w:szCs w:val="24"/>
        </w:rPr>
        <w:t xml:space="preserve">Proposed </w:t>
      </w:r>
      <w:r w:rsidR="00921472" w:rsidRPr="00B24827">
        <w:rPr>
          <w:color w:val="2F5496" w:themeColor="accent1" w:themeShade="BF"/>
          <w:sz w:val="24"/>
          <w:szCs w:val="24"/>
        </w:rPr>
        <w:t xml:space="preserve">SCM EMCs and status of </w:t>
      </w:r>
      <w:r w:rsidRPr="00B24827">
        <w:rPr>
          <w:color w:val="2F5496" w:themeColor="accent1" w:themeShade="BF"/>
          <w:sz w:val="24"/>
          <w:szCs w:val="24"/>
        </w:rPr>
        <w:t>in</w:t>
      </w:r>
      <w:r>
        <w:rPr>
          <w:color w:val="2F5496" w:themeColor="accent1" w:themeShade="BF"/>
          <w:sz w:val="24"/>
          <w:szCs w:val="24"/>
        </w:rPr>
        <w:t>-</w:t>
      </w:r>
      <w:r w:rsidRPr="00B24827">
        <w:rPr>
          <w:color w:val="2F5496" w:themeColor="accent1" w:themeShade="BF"/>
          <w:sz w:val="24"/>
          <w:szCs w:val="24"/>
        </w:rPr>
        <w:t xml:space="preserve">progress </w:t>
      </w:r>
      <w:r w:rsidR="00921472" w:rsidRPr="00B24827">
        <w:rPr>
          <w:color w:val="2F5496" w:themeColor="accent1" w:themeShade="BF"/>
          <w:sz w:val="24"/>
          <w:szCs w:val="24"/>
        </w:rPr>
        <w:t xml:space="preserve">evaluations </w:t>
      </w:r>
    </w:p>
    <w:p w14:paraId="4A521095" w14:textId="2FD45184" w:rsidR="00921472" w:rsidRDefault="005470B4">
      <w:r>
        <w:rPr>
          <w:noProof/>
        </w:rPr>
        <w:drawing>
          <wp:inline distT="0" distB="0" distL="0" distR="0" wp14:anchorId="7F4800DA" wp14:editId="74952577">
            <wp:extent cx="5943600" cy="3189605"/>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1"/>
                    <a:stretch>
                      <a:fillRect/>
                    </a:stretch>
                  </pic:blipFill>
                  <pic:spPr>
                    <a:xfrm>
                      <a:off x="0" y="0"/>
                      <a:ext cx="5943600" cy="3189605"/>
                    </a:xfrm>
                    <a:prstGeom prst="rect">
                      <a:avLst/>
                    </a:prstGeom>
                  </pic:spPr>
                </pic:pic>
              </a:graphicData>
            </a:graphic>
          </wp:inline>
        </w:drawing>
      </w:r>
    </w:p>
    <w:p w14:paraId="49C9FD1A" w14:textId="6DADFAE7" w:rsidR="005470B4" w:rsidRDefault="00AE488F">
      <w:r>
        <w:t>Ongoing questions about number of studies to require</w:t>
      </w:r>
    </w:p>
    <w:p w14:paraId="59E6ADBC" w14:textId="3B2259B7" w:rsidR="004B4E96" w:rsidRDefault="00411ABA">
      <w:r>
        <w:lastRenderedPageBreak/>
        <w:t xml:space="preserve">Trish: </w:t>
      </w:r>
      <w:proofErr w:type="spellStart"/>
      <w:r w:rsidR="004B4E96">
        <w:t>Virophos</w:t>
      </w:r>
      <w:proofErr w:type="spellEnd"/>
      <w:r w:rsidR="004B4E96">
        <w:t xml:space="preserve"> </w:t>
      </w:r>
      <w:r>
        <w:t>has</w:t>
      </w:r>
      <w:r w:rsidR="004B4E96">
        <w:t xml:space="preserve"> not</w:t>
      </w:r>
      <w:r w:rsidR="009C5BFD">
        <w:t xml:space="preserve"> </w:t>
      </w:r>
      <w:r>
        <w:t xml:space="preserve">seemed to </w:t>
      </w:r>
      <w:r w:rsidR="009C5BFD">
        <w:t>improve performance of LS-FS</w:t>
      </w:r>
    </w:p>
    <w:p w14:paraId="5FD381EC" w14:textId="36588717" w:rsidR="00E74003" w:rsidRPr="00411ABA" w:rsidRDefault="00E74003" w:rsidP="00411ABA">
      <w:pPr>
        <w:jc w:val="center"/>
        <w:rPr>
          <w:b/>
          <w:bCs/>
          <w:i/>
          <w:iCs/>
        </w:rPr>
      </w:pPr>
      <w:r w:rsidRPr="00411ABA">
        <w:rPr>
          <w:b/>
          <w:bCs/>
          <w:i/>
          <w:iCs/>
        </w:rPr>
        <w:t xml:space="preserve">[Missed 5ish min </w:t>
      </w:r>
      <w:r w:rsidR="00411ABA" w:rsidRPr="00411ABA">
        <w:rPr>
          <w:b/>
          <w:bCs/>
          <w:i/>
          <w:iCs/>
        </w:rPr>
        <w:t xml:space="preserve">here </w:t>
      </w:r>
      <w:r w:rsidRPr="00411ABA">
        <w:rPr>
          <w:b/>
          <w:bCs/>
          <w:i/>
          <w:iCs/>
        </w:rPr>
        <w:t>while Teams glitched repeatedly]</w:t>
      </w:r>
    </w:p>
    <w:p w14:paraId="16F003B5" w14:textId="2639BF3A" w:rsidR="009C5BFD" w:rsidRDefault="009C5BFD">
      <w:r>
        <w:t xml:space="preserve">Jennifer </w:t>
      </w:r>
      <w:proofErr w:type="spellStart"/>
      <w:r>
        <w:t>Buzun</w:t>
      </w:r>
      <w:proofErr w:type="spellEnd"/>
      <w:r>
        <w:t>: Are there standards for wet swales?</w:t>
      </w:r>
    </w:p>
    <w:p w14:paraId="30220477" w14:textId="77777777" w:rsidR="009C5BFD" w:rsidRDefault="009C5BFD">
      <w:r>
        <w:t>Trish: No design standards yet for wet swales</w:t>
      </w:r>
    </w:p>
    <w:p w14:paraId="35055B1C" w14:textId="4A24F2EA" w:rsidR="009C5BFD" w:rsidRDefault="009C5BFD">
      <w:r>
        <w:t>Rich: Performance doesn’t seem to differ from dry swales</w:t>
      </w:r>
    </w:p>
    <w:p w14:paraId="62948729" w14:textId="5FAEA278" w:rsidR="00E74003" w:rsidRDefault="00E74003">
      <w:r>
        <w:t>Jennifer: We have had applications to install wet swales but are reluctant to approve without standards</w:t>
      </w:r>
    </w:p>
    <w:p w14:paraId="7EC80D4A" w14:textId="1AFEA20F" w:rsidR="009C5BFD" w:rsidRDefault="00E74003">
      <w:r>
        <w:t>Trish: Also, b</w:t>
      </w:r>
      <w:r w:rsidR="009C5BFD">
        <w:t>ioswale design standards in the works but won’t be ready for this iteration</w:t>
      </w:r>
    </w:p>
    <w:p w14:paraId="39A91CE0" w14:textId="535672BB" w:rsidR="00E74003" w:rsidRDefault="00E74003">
      <w:r>
        <w:t xml:space="preserve">Andy McDaniel: </w:t>
      </w:r>
      <w:r w:rsidR="003225E0">
        <w:t>Do we have metadata or reports on how values in the table above were derived?</w:t>
      </w:r>
    </w:p>
    <w:p w14:paraId="5B4C09E6" w14:textId="108BB642" w:rsidR="003225E0" w:rsidRDefault="003225E0">
      <w:r>
        <w:t>Trish:</w:t>
      </w:r>
      <w:r w:rsidR="005F531F">
        <w:t xml:space="preserve"> These</w:t>
      </w:r>
      <w:r>
        <w:t xml:space="preserve"> will be included in SCM Credit Document</w:t>
      </w:r>
    </w:p>
    <w:p w14:paraId="114AB1DD" w14:textId="7410FCB5" w:rsidR="00B46272" w:rsidRDefault="00B46272">
      <w:r>
        <w:t xml:space="preserve">Sandi Wilbur: </w:t>
      </w:r>
      <w:r w:rsidR="00081662">
        <w:t xml:space="preserve">Did we have a </w:t>
      </w:r>
      <w:proofErr w:type="gramStart"/>
      <w:r w:rsidR="00081662">
        <w:t>criteria</w:t>
      </w:r>
      <w:proofErr w:type="gramEnd"/>
      <w:r w:rsidR="00081662">
        <w:t xml:space="preserve"> for changing EMCs?</w:t>
      </w:r>
    </w:p>
    <w:p w14:paraId="34E72F79" w14:textId="42B4C847" w:rsidR="00B66F13" w:rsidRDefault="00B66F13">
      <w:r>
        <w:t xml:space="preserve">Trish: Not currently. </w:t>
      </w:r>
    </w:p>
    <w:p w14:paraId="7F7B4205" w14:textId="23599BD5" w:rsidR="00B66F13" w:rsidRDefault="00B66F13">
      <w:r>
        <w:t xml:space="preserve">Sandi: </w:t>
      </w:r>
      <w:r w:rsidR="00DE6ACC">
        <w:t>For SCMs with changed EMCs, should a statistical significance test be applied</w:t>
      </w:r>
      <w:r w:rsidR="00EA0727">
        <w:t xml:space="preserve">? </w:t>
      </w:r>
    </w:p>
    <w:p w14:paraId="774C923B" w14:textId="1DDFBAC9" w:rsidR="000E203B" w:rsidRDefault="000E203B">
      <w:r>
        <w:t xml:space="preserve">Trish: For </w:t>
      </w:r>
      <w:r w:rsidR="009E5F61">
        <w:t>SCMs</w:t>
      </w:r>
      <w:r>
        <w:t xml:space="preserve"> with large volume reduction component, </w:t>
      </w:r>
      <w:r w:rsidR="009E5F61">
        <w:t>change in EMC may be less significant.</w:t>
      </w:r>
    </w:p>
    <w:p w14:paraId="3EDBDAF5" w14:textId="70FDE72E" w:rsidR="009E5F61" w:rsidRDefault="009E5F61">
      <w:r>
        <w:t>Sandi: Good to encourage</w:t>
      </w:r>
      <w:r w:rsidR="00C67F6C">
        <w:t xml:space="preserve"> and include</w:t>
      </w:r>
      <w:r>
        <w:t xml:space="preserve"> studies on variants</w:t>
      </w:r>
      <w:r w:rsidR="00C67F6C">
        <w:t>, even if they do not perform significantly different, because these variants may be useful later in different situations/locations/for different contaminants</w:t>
      </w:r>
    </w:p>
    <w:p w14:paraId="246F3275" w14:textId="41DCBEB7" w:rsidR="00921472" w:rsidRPr="00577B2C" w:rsidRDefault="00921472" w:rsidP="00B24827">
      <w:pPr>
        <w:pStyle w:val="Heading2"/>
      </w:pPr>
      <w:r w:rsidRPr="00577B2C">
        <w:t xml:space="preserve">Next </w:t>
      </w:r>
      <w:r w:rsidR="003425EA">
        <w:t>Steps, Timeline</w:t>
      </w:r>
    </w:p>
    <w:p w14:paraId="55CE239B" w14:textId="1CC09611" w:rsidR="00921472" w:rsidRDefault="003425EA">
      <w:r>
        <w:rPr>
          <w:noProof/>
        </w:rPr>
        <w:drawing>
          <wp:inline distT="0" distB="0" distL="0" distR="0" wp14:anchorId="2349B902" wp14:editId="4F89D39D">
            <wp:extent cx="4648200" cy="2103112"/>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2"/>
                    <a:stretch>
                      <a:fillRect/>
                    </a:stretch>
                  </pic:blipFill>
                  <pic:spPr>
                    <a:xfrm>
                      <a:off x="0" y="0"/>
                      <a:ext cx="4655062" cy="2106217"/>
                    </a:xfrm>
                    <a:prstGeom prst="rect">
                      <a:avLst/>
                    </a:prstGeom>
                  </pic:spPr>
                </pic:pic>
              </a:graphicData>
            </a:graphic>
          </wp:inline>
        </w:drawing>
      </w:r>
    </w:p>
    <w:p w14:paraId="7CC003C5" w14:textId="26AC342C" w:rsidR="003425EA" w:rsidRDefault="003425EA" w:rsidP="00B24827">
      <w:pPr>
        <w:pStyle w:val="Heading2"/>
      </w:pPr>
      <w:r>
        <w:t>Updates</w:t>
      </w:r>
    </w:p>
    <w:p w14:paraId="1A03D1BB" w14:textId="19744B36" w:rsidR="003425EA" w:rsidRDefault="00704851" w:rsidP="003425EA">
      <w:r>
        <w:t xml:space="preserve">Bill Hunt: </w:t>
      </w:r>
      <w:r w:rsidR="00786358">
        <w:t>We hope to be starting to develop wet swale design guidance later this summer, finish this year. We s</w:t>
      </w:r>
      <w:r>
        <w:t xml:space="preserve">ubmitted a NCLWF grant to finish DOT study on </w:t>
      </w:r>
      <w:proofErr w:type="gramStart"/>
      <w:r>
        <w:t>bioswales</w:t>
      </w:r>
      <w:proofErr w:type="gramEnd"/>
      <w:r w:rsidR="00786358">
        <w:t xml:space="preserve"> and</w:t>
      </w:r>
      <w:r>
        <w:t xml:space="preserve"> the goal will be to develop EMCs for them</w:t>
      </w:r>
      <w:r w:rsidR="00786358">
        <w:t>; this won’t be ready for a couple years.</w:t>
      </w:r>
    </w:p>
    <w:p w14:paraId="74585A61" w14:textId="770F9646" w:rsidR="00271D03" w:rsidRDefault="00B17BA4" w:rsidP="003425EA">
      <w:r>
        <w:t>Trish: We are working on RSCs but that won’t come out with this. Sarah mentioned additional FWI studies upcoming, and we could hold publication of FWI EMCs from this document to wait for those studies</w:t>
      </w:r>
      <w:r w:rsidR="00271D03">
        <w:t>, so that we could refine installation guidance and issue new EMCs</w:t>
      </w:r>
      <w:r w:rsidR="007D310C">
        <w:t xml:space="preserve">. Do you think we should keep </w:t>
      </w:r>
      <w:r w:rsidR="007D310C">
        <w:lastRenderedPageBreak/>
        <w:t>variants merged to ‘parent’ SCMs, if they don’t have statistically different results, until they have enough data to stand on their own?</w:t>
      </w:r>
    </w:p>
    <w:p w14:paraId="5778391D" w14:textId="191F75D8" w:rsidR="007D310C" w:rsidRDefault="007D310C" w:rsidP="003425EA">
      <w:r>
        <w:t xml:space="preserve">Bill: It depends on how the studies are done. </w:t>
      </w:r>
      <w:r w:rsidR="00DF024A">
        <w:t xml:space="preserve">If done side by side, like LS-FS, </w:t>
      </w:r>
      <w:r w:rsidR="00A5714E">
        <w:t xml:space="preserve">the </w:t>
      </w:r>
      <w:r w:rsidR="00DF024A">
        <w:t xml:space="preserve">same water came in and was divided between two variants. </w:t>
      </w:r>
      <w:r w:rsidR="00A5714E">
        <w:t xml:space="preserve">I would suggest looking at the difference in performance between these two, then compare with the </w:t>
      </w:r>
      <w:proofErr w:type="gramStart"/>
      <w:r w:rsidR="00A5714E">
        <w:t>across the board</w:t>
      </w:r>
      <w:proofErr w:type="gramEnd"/>
      <w:r w:rsidR="00A5714E">
        <w:t xml:space="preserve"> LS-FS number, then apply the more </w:t>
      </w:r>
      <w:r w:rsidR="002B7E01">
        <w:t>conservative assessment.</w:t>
      </w:r>
    </w:p>
    <w:p w14:paraId="6932BF32" w14:textId="610838D2" w:rsidR="002B7E01" w:rsidRDefault="002B7E01" w:rsidP="003425EA">
      <w:r>
        <w:t>Trish: I’ll need to work with Sarah to get which studies were side by side and get those values.</w:t>
      </w:r>
    </w:p>
    <w:p w14:paraId="184E7837" w14:textId="761CEE84" w:rsidR="002B7E01" w:rsidRDefault="002B7E01" w:rsidP="003425EA">
      <w:r>
        <w:t>Bill: Sandi – we are looking at coming up with MDCs and EMCs for RSCs, hopefully by end of year.</w:t>
      </w:r>
    </w:p>
    <w:p w14:paraId="5B354E8D" w14:textId="4F2A5C2B" w:rsidR="002B7E01" w:rsidRDefault="002B7E01" w:rsidP="003425EA">
      <w:r>
        <w:t xml:space="preserve">Trish: Bioretention with and without IWS – previously calculated phosphorus </w:t>
      </w:r>
      <w:r w:rsidR="00DB22AE">
        <w:t>across both, but seeing a difference between them in phosphorus performance, so think we need to separate them as different SCMs.</w:t>
      </w:r>
    </w:p>
    <w:p w14:paraId="63289C3E" w14:textId="1D6DE9FE" w:rsidR="00DB22AE" w:rsidRDefault="00DB22AE" w:rsidP="003425EA">
      <w:r>
        <w:t xml:space="preserve">Bill: </w:t>
      </w:r>
      <w:r w:rsidR="00CB0B36">
        <w:t xml:space="preserve">Ones with IWS </w:t>
      </w:r>
      <w:r w:rsidR="00F84D26">
        <w:t>may be</w:t>
      </w:r>
      <w:r w:rsidR="00CB0B36">
        <w:t xml:space="preserve"> lower in P because of when they were constructed </w:t>
      </w:r>
      <w:r w:rsidR="00F84D26">
        <w:t>–</w:t>
      </w:r>
      <w:r w:rsidR="00CB0B36">
        <w:t xml:space="preserve"> </w:t>
      </w:r>
      <w:r w:rsidR="00F84D26">
        <w:t xml:space="preserve">soil </w:t>
      </w:r>
      <w:r w:rsidR="00CB0B36">
        <w:t xml:space="preserve">media </w:t>
      </w:r>
      <w:r w:rsidR="00F84D26">
        <w:t xml:space="preserve">has </w:t>
      </w:r>
      <w:proofErr w:type="spellStart"/>
      <w:r w:rsidR="00F84D26">
        <w:t>bee</w:t>
      </w:r>
      <w:proofErr w:type="spellEnd"/>
      <w:r w:rsidR="00CB0B36">
        <w:t xml:space="preserve"> more refined as time went on.</w:t>
      </w:r>
      <w:r w:rsidR="00F84D26">
        <w:t xml:space="preserve"> </w:t>
      </w:r>
      <w:proofErr w:type="gramStart"/>
      <w:r w:rsidR="00F84D26">
        <w:t>So</w:t>
      </w:r>
      <w:proofErr w:type="gramEnd"/>
      <w:r w:rsidR="00F84D26">
        <w:t xml:space="preserve"> my suggestion would be to keep them the same.</w:t>
      </w:r>
    </w:p>
    <w:p w14:paraId="637BEC66" w14:textId="1623234C" w:rsidR="00363AA9" w:rsidRDefault="00363AA9" w:rsidP="003425EA">
      <w:r>
        <w:t xml:space="preserve">Jennifer </w:t>
      </w:r>
      <w:proofErr w:type="spellStart"/>
      <w:r>
        <w:t>Buzun</w:t>
      </w:r>
      <w:proofErr w:type="spellEnd"/>
      <w:r>
        <w:t>: W</w:t>
      </w:r>
      <w:r w:rsidRPr="00363AA9">
        <w:t>hen will the new sand filter EMCs become official in the SNAP tool?</w:t>
      </w:r>
    </w:p>
    <w:p w14:paraId="7CE43FB4" w14:textId="653F5649" w:rsidR="00363AA9" w:rsidRDefault="00363AA9" w:rsidP="003425EA">
      <w:r>
        <w:t xml:space="preserve">Trish: When we release the new SNAP tool. </w:t>
      </w:r>
    </w:p>
    <w:p w14:paraId="005E50B0" w14:textId="2DCF1A4F" w:rsidR="007E6CFB" w:rsidRDefault="007E6CFB" w:rsidP="003425EA">
      <w:r>
        <w:t>Andy: Bill</w:t>
      </w:r>
      <w:r w:rsidR="00391842">
        <w:t>, when will you develop MDCs for RSCs?</w:t>
      </w:r>
    </w:p>
    <w:p w14:paraId="5FA549B6" w14:textId="582F857C" w:rsidR="00391842" w:rsidRDefault="00391842" w:rsidP="003425EA">
      <w:r>
        <w:t xml:space="preserve">Bill: Hope to be done by </w:t>
      </w:r>
      <w:r w:rsidR="00A777F9">
        <w:t xml:space="preserve">December. </w:t>
      </w:r>
    </w:p>
    <w:p w14:paraId="2D6E3923" w14:textId="23D1A77D" w:rsidR="00A777F9" w:rsidRDefault="00A777F9" w:rsidP="003425EA">
      <w:r>
        <w:t>Andy: DOT is actively working on design guidance as well – we should coordinate.</w:t>
      </w:r>
    </w:p>
    <w:p w14:paraId="2455C2CA" w14:textId="1A3DDF9F" w:rsidR="00A777F9" w:rsidRDefault="00A777F9" w:rsidP="003425EA">
      <w:r>
        <w:t>Bill will have his people coordinate!</w:t>
      </w:r>
    </w:p>
    <w:p w14:paraId="0FCC731B" w14:textId="1FA36642" w:rsidR="00A777F9" w:rsidRDefault="004C641E" w:rsidP="003425EA">
      <w:r>
        <w:t xml:space="preserve">Forrest: </w:t>
      </w:r>
      <w:r w:rsidR="004D079E">
        <w:t>Things will change when we get new data – cost, long-term performance data</w:t>
      </w:r>
      <w:r w:rsidR="00FD0F43">
        <w:t xml:space="preserve"> – and consider lifetime of practices</w:t>
      </w:r>
    </w:p>
    <w:p w14:paraId="74336E52" w14:textId="27BB8AAE" w:rsidR="00D70C41" w:rsidRDefault="00D70C41" w:rsidP="003425EA">
      <w:r>
        <w:t>Sally: With staffing changes at DEMLR, who is working on Manual updates and design guidance? (A; Jim Farkas)</w:t>
      </w:r>
    </w:p>
    <w:p w14:paraId="2CEFFB80" w14:textId="15674B94" w:rsidR="00D70C41" w:rsidRDefault="00D70C41" w:rsidP="003425EA">
      <w:r>
        <w:t>Sally is interested in helping with RSC design criteria.</w:t>
      </w:r>
    </w:p>
    <w:p w14:paraId="2DA5CDE6" w14:textId="5C8ADB98" w:rsidR="00D70C41" w:rsidRPr="003425EA" w:rsidRDefault="00D70C41" w:rsidP="003425EA"/>
    <w:sectPr w:rsidR="00D70C41" w:rsidRPr="003425EA" w:rsidSect="0092147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83C8" w14:textId="77777777" w:rsidR="00EA06F4" w:rsidRDefault="00EA06F4" w:rsidP="00EA06F4">
      <w:pPr>
        <w:spacing w:after="0" w:line="240" w:lineRule="auto"/>
      </w:pPr>
      <w:r>
        <w:separator/>
      </w:r>
    </w:p>
  </w:endnote>
  <w:endnote w:type="continuationSeparator" w:id="0">
    <w:p w14:paraId="31E0ABF8" w14:textId="77777777" w:rsidR="00EA06F4" w:rsidRDefault="00EA06F4" w:rsidP="00EA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33674"/>
      <w:docPartObj>
        <w:docPartGallery w:val="Page Numbers (Bottom of Page)"/>
        <w:docPartUnique/>
      </w:docPartObj>
    </w:sdtPr>
    <w:sdtEndPr/>
    <w:sdtContent>
      <w:sdt>
        <w:sdtPr>
          <w:id w:val="1728636285"/>
          <w:docPartObj>
            <w:docPartGallery w:val="Page Numbers (Top of Page)"/>
            <w:docPartUnique/>
          </w:docPartObj>
        </w:sdtPr>
        <w:sdtEndPr/>
        <w:sdtContent>
          <w:p w14:paraId="0C6A61C9" w14:textId="7422EE41" w:rsidR="00EA06F4" w:rsidRDefault="00EA06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BD22C8" w14:textId="77777777" w:rsidR="00EA06F4" w:rsidRDefault="00EA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E464" w14:textId="77777777" w:rsidR="00EA06F4" w:rsidRDefault="00EA06F4" w:rsidP="00EA06F4">
      <w:pPr>
        <w:spacing w:after="0" w:line="240" w:lineRule="auto"/>
      </w:pPr>
      <w:r>
        <w:separator/>
      </w:r>
    </w:p>
  </w:footnote>
  <w:footnote w:type="continuationSeparator" w:id="0">
    <w:p w14:paraId="0F81EE9C" w14:textId="77777777" w:rsidR="00EA06F4" w:rsidRDefault="00EA06F4" w:rsidP="00EA0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17E"/>
    <w:multiLevelType w:val="hybridMultilevel"/>
    <w:tmpl w:val="9A402F5A"/>
    <w:lvl w:ilvl="0" w:tplc="722C7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94D6B"/>
    <w:multiLevelType w:val="hybridMultilevel"/>
    <w:tmpl w:val="9DA8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16322"/>
    <w:multiLevelType w:val="hybridMultilevel"/>
    <w:tmpl w:val="A6F6A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0037315">
    <w:abstractNumId w:val="0"/>
  </w:num>
  <w:num w:numId="2" w16cid:durableId="1723167282">
    <w:abstractNumId w:val="2"/>
  </w:num>
  <w:num w:numId="3" w16cid:durableId="135542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FB"/>
    <w:rsid w:val="00000F67"/>
    <w:rsid w:val="00081662"/>
    <w:rsid w:val="00083789"/>
    <w:rsid w:val="000D22D4"/>
    <w:rsid w:val="000E203B"/>
    <w:rsid w:val="00104CBA"/>
    <w:rsid w:val="001244B7"/>
    <w:rsid w:val="0012781C"/>
    <w:rsid w:val="00154287"/>
    <w:rsid w:val="001548C9"/>
    <w:rsid w:val="0016233D"/>
    <w:rsid w:val="001708D1"/>
    <w:rsid w:val="001C1780"/>
    <w:rsid w:val="00210B74"/>
    <w:rsid w:val="002357F8"/>
    <w:rsid w:val="00242C49"/>
    <w:rsid w:val="002650A1"/>
    <w:rsid w:val="00271D03"/>
    <w:rsid w:val="0029368E"/>
    <w:rsid w:val="002B492B"/>
    <w:rsid w:val="002B7E01"/>
    <w:rsid w:val="002C77FB"/>
    <w:rsid w:val="003225E0"/>
    <w:rsid w:val="003425EA"/>
    <w:rsid w:val="00342C88"/>
    <w:rsid w:val="00360B64"/>
    <w:rsid w:val="00361D02"/>
    <w:rsid w:val="00363AA9"/>
    <w:rsid w:val="00376ACC"/>
    <w:rsid w:val="003823D9"/>
    <w:rsid w:val="003908A6"/>
    <w:rsid w:val="00391842"/>
    <w:rsid w:val="003A76CA"/>
    <w:rsid w:val="003E0609"/>
    <w:rsid w:val="00411ABA"/>
    <w:rsid w:val="00417CCD"/>
    <w:rsid w:val="00463CF2"/>
    <w:rsid w:val="00474660"/>
    <w:rsid w:val="004B4E96"/>
    <w:rsid w:val="004B79A1"/>
    <w:rsid w:val="004C641E"/>
    <w:rsid w:val="004C76BB"/>
    <w:rsid w:val="004D079E"/>
    <w:rsid w:val="004D0AD2"/>
    <w:rsid w:val="004E61F1"/>
    <w:rsid w:val="005470B4"/>
    <w:rsid w:val="005547DE"/>
    <w:rsid w:val="00577B2C"/>
    <w:rsid w:val="005F50DA"/>
    <w:rsid w:val="005F531F"/>
    <w:rsid w:val="0067345D"/>
    <w:rsid w:val="006A1670"/>
    <w:rsid w:val="006D5CDE"/>
    <w:rsid w:val="006E6B66"/>
    <w:rsid w:val="00704851"/>
    <w:rsid w:val="0075272F"/>
    <w:rsid w:val="0077197B"/>
    <w:rsid w:val="00786358"/>
    <w:rsid w:val="007B4F14"/>
    <w:rsid w:val="007D310C"/>
    <w:rsid w:val="007E6CFB"/>
    <w:rsid w:val="00837917"/>
    <w:rsid w:val="008566D9"/>
    <w:rsid w:val="00867120"/>
    <w:rsid w:val="008A641D"/>
    <w:rsid w:val="008D354D"/>
    <w:rsid w:val="008E1485"/>
    <w:rsid w:val="008F1CD3"/>
    <w:rsid w:val="00904750"/>
    <w:rsid w:val="00914685"/>
    <w:rsid w:val="00921472"/>
    <w:rsid w:val="0097533F"/>
    <w:rsid w:val="009C5BFD"/>
    <w:rsid w:val="009D6747"/>
    <w:rsid w:val="009E5F61"/>
    <w:rsid w:val="00A003E9"/>
    <w:rsid w:val="00A0153E"/>
    <w:rsid w:val="00A417C8"/>
    <w:rsid w:val="00A5714E"/>
    <w:rsid w:val="00A65FB7"/>
    <w:rsid w:val="00A777F9"/>
    <w:rsid w:val="00A9723D"/>
    <w:rsid w:val="00A97EC1"/>
    <w:rsid w:val="00AE488F"/>
    <w:rsid w:val="00B17BA4"/>
    <w:rsid w:val="00B24827"/>
    <w:rsid w:val="00B35BED"/>
    <w:rsid w:val="00B46272"/>
    <w:rsid w:val="00B64495"/>
    <w:rsid w:val="00B64A44"/>
    <w:rsid w:val="00B66F13"/>
    <w:rsid w:val="00B702E1"/>
    <w:rsid w:val="00B745DB"/>
    <w:rsid w:val="00B9043E"/>
    <w:rsid w:val="00BA0FFC"/>
    <w:rsid w:val="00BB2E4E"/>
    <w:rsid w:val="00BB3EC4"/>
    <w:rsid w:val="00BC083C"/>
    <w:rsid w:val="00BC6E19"/>
    <w:rsid w:val="00BE2608"/>
    <w:rsid w:val="00BF222B"/>
    <w:rsid w:val="00C02695"/>
    <w:rsid w:val="00C66039"/>
    <w:rsid w:val="00C67F6C"/>
    <w:rsid w:val="00C870DF"/>
    <w:rsid w:val="00CB0B36"/>
    <w:rsid w:val="00CD60B4"/>
    <w:rsid w:val="00CE0554"/>
    <w:rsid w:val="00CE5078"/>
    <w:rsid w:val="00CF322E"/>
    <w:rsid w:val="00D530F9"/>
    <w:rsid w:val="00D70C41"/>
    <w:rsid w:val="00DB22AE"/>
    <w:rsid w:val="00DD0F5C"/>
    <w:rsid w:val="00DD2871"/>
    <w:rsid w:val="00DE6ACC"/>
    <w:rsid w:val="00DF024A"/>
    <w:rsid w:val="00E04367"/>
    <w:rsid w:val="00E06F58"/>
    <w:rsid w:val="00E32B06"/>
    <w:rsid w:val="00E74003"/>
    <w:rsid w:val="00EA06F4"/>
    <w:rsid w:val="00EA0727"/>
    <w:rsid w:val="00EA0E41"/>
    <w:rsid w:val="00ED7E54"/>
    <w:rsid w:val="00EE2385"/>
    <w:rsid w:val="00EF39CF"/>
    <w:rsid w:val="00F15AC8"/>
    <w:rsid w:val="00F84D26"/>
    <w:rsid w:val="00F903BD"/>
    <w:rsid w:val="00F94883"/>
    <w:rsid w:val="00FA1740"/>
    <w:rsid w:val="00FA22E4"/>
    <w:rsid w:val="00FB65A6"/>
    <w:rsid w:val="00FB7873"/>
    <w:rsid w:val="00FD0F43"/>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D8ED"/>
  <w15:chartTrackingRefBased/>
  <w15:docId w15:val="{D15CA18F-38AD-489D-9FB2-C14B1057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6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16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4B7"/>
    <w:pPr>
      <w:ind w:left="720"/>
      <w:contextualSpacing/>
    </w:pPr>
  </w:style>
  <w:style w:type="character" w:customStyle="1" w:styleId="Heading1Char">
    <w:name w:val="Heading 1 Char"/>
    <w:basedOn w:val="DefaultParagraphFont"/>
    <w:link w:val="Heading1"/>
    <w:uiPriority w:val="9"/>
    <w:rsid w:val="006A16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167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A06F4"/>
    <w:rPr>
      <w:color w:val="0563C1" w:themeColor="hyperlink"/>
      <w:u w:val="single"/>
    </w:rPr>
  </w:style>
  <w:style w:type="character" w:styleId="UnresolvedMention">
    <w:name w:val="Unresolved Mention"/>
    <w:basedOn w:val="DefaultParagraphFont"/>
    <w:uiPriority w:val="99"/>
    <w:semiHidden/>
    <w:unhideWhenUsed/>
    <w:rsid w:val="00EA06F4"/>
    <w:rPr>
      <w:color w:val="605E5C"/>
      <w:shd w:val="clear" w:color="auto" w:fill="E1DFDD"/>
    </w:rPr>
  </w:style>
  <w:style w:type="paragraph" w:styleId="Header">
    <w:name w:val="header"/>
    <w:basedOn w:val="Normal"/>
    <w:link w:val="HeaderChar"/>
    <w:uiPriority w:val="99"/>
    <w:unhideWhenUsed/>
    <w:rsid w:val="00EA0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6F4"/>
  </w:style>
  <w:style w:type="paragraph" w:styleId="Footer">
    <w:name w:val="footer"/>
    <w:basedOn w:val="Normal"/>
    <w:link w:val="FooterChar"/>
    <w:uiPriority w:val="99"/>
    <w:unhideWhenUsed/>
    <w:rsid w:val="00EA0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q.nc.gov/n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Cough-Schulze</dc:creator>
  <cp:keywords/>
  <dc:description/>
  <cp:lastModifiedBy>Gannon, Rich</cp:lastModifiedBy>
  <cp:revision>13</cp:revision>
  <dcterms:created xsi:type="dcterms:W3CDTF">2022-07-06T18:44:00Z</dcterms:created>
  <dcterms:modified xsi:type="dcterms:W3CDTF">2022-07-06T19:55:00Z</dcterms:modified>
</cp:coreProperties>
</file>