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D17" w:rsidRPr="00CD5911" w:rsidRDefault="009F6D17" w:rsidP="00375A2F">
      <w:pPr>
        <w:spacing w:after="0"/>
        <w:jc w:val="center"/>
        <w:rPr>
          <w:rFonts w:ascii="Times New Roman" w:hAnsi="Times New Roman" w:cs="Times New Roman"/>
          <w:sz w:val="24"/>
          <w:szCs w:val="24"/>
        </w:rPr>
      </w:pPr>
      <w:r w:rsidRPr="00CD5911">
        <w:rPr>
          <w:rFonts w:ascii="Times New Roman" w:hAnsi="Times New Roman" w:cs="Times New Roman"/>
          <w:sz w:val="24"/>
          <w:szCs w:val="24"/>
        </w:rPr>
        <w:t>Response to Comments regarding Brownfields Agreement</w:t>
      </w:r>
    </w:p>
    <w:p w:rsidR="009F6D17" w:rsidRPr="00CD5911" w:rsidRDefault="004879D1" w:rsidP="00375A2F">
      <w:pPr>
        <w:spacing w:after="0"/>
        <w:jc w:val="center"/>
        <w:rPr>
          <w:rFonts w:ascii="Times New Roman" w:hAnsi="Times New Roman" w:cs="Times New Roman"/>
          <w:sz w:val="24"/>
          <w:szCs w:val="24"/>
        </w:rPr>
      </w:pPr>
      <w:r>
        <w:rPr>
          <w:rFonts w:ascii="Times New Roman" w:hAnsi="Times New Roman" w:cs="Times New Roman"/>
          <w:sz w:val="24"/>
          <w:szCs w:val="24"/>
        </w:rPr>
        <w:t>Former BASF</w:t>
      </w:r>
      <w:r w:rsidR="009F6D17" w:rsidRPr="00CD5911">
        <w:rPr>
          <w:rFonts w:ascii="Times New Roman" w:hAnsi="Times New Roman" w:cs="Times New Roman"/>
          <w:sz w:val="24"/>
          <w:szCs w:val="24"/>
        </w:rPr>
        <w:t xml:space="preserve"> Landfill</w:t>
      </w:r>
    </w:p>
    <w:p w:rsidR="009F6D17" w:rsidRPr="00CD5911" w:rsidRDefault="009F6D17" w:rsidP="00375A2F">
      <w:pPr>
        <w:spacing w:after="0"/>
        <w:jc w:val="center"/>
        <w:rPr>
          <w:rFonts w:ascii="Times New Roman" w:hAnsi="Times New Roman" w:cs="Times New Roman"/>
          <w:sz w:val="24"/>
          <w:szCs w:val="24"/>
        </w:rPr>
      </w:pPr>
      <w:r w:rsidRPr="00CD5911">
        <w:rPr>
          <w:rFonts w:ascii="Times New Roman" w:hAnsi="Times New Roman" w:cs="Times New Roman"/>
          <w:sz w:val="24"/>
          <w:szCs w:val="24"/>
        </w:rPr>
        <w:t>Sand Hill Road, Asheville, Buncombe County, NC</w:t>
      </w:r>
    </w:p>
    <w:p w:rsidR="00375A2F" w:rsidRPr="00CD5911" w:rsidRDefault="001E0180" w:rsidP="00375A2F">
      <w:pPr>
        <w:jc w:val="center"/>
        <w:rPr>
          <w:rFonts w:ascii="Times New Roman" w:hAnsi="Times New Roman" w:cs="Times New Roman"/>
          <w:sz w:val="24"/>
          <w:szCs w:val="24"/>
        </w:rPr>
      </w:pPr>
      <w:r>
        <w:rPr>
          <w:rFonts w:ascii="Times New Roman" w:hAnsi="Times New Roman" w:cs="Times New Roman"/>
          <w:sz w:val="24"/>
          <w:szCs w:val="24"/>
        </w:rPr>
        <w:t>Project # 15011-11</w:t>
      </w:r>
      <w:r w:rsidR="00981364" w:rsidRPr="00CD5911">
        <w:rPr>
          <w:rFonts w:ascii="Times New Roman" w:hAnsi="Times New Roman" w:cs="Times New Roman"/>
          <w:sz w:val="24"/>
          <w:szCs w:val="24"/>
        </w:rPr>
        <w:t>-11</w:t>
      </w:r>
    </w:p>
    <w:p w:rsidR="00375A2F" w:rsidRPr="00CD5911" w:rsidRDefault="00375A2F" w:rsidP="00375A2F">
      <w:pPr>
        <w:spacing w:after="0" w:line="240" w:lineRule="auto"/>
        <w:jc w:val="center"/>
        <w:rPr>
          <w:rFonts w:ascii="Times New Roman" w:hAnsi="Times New Roman" w:cs="Times New Roman"/>
          <w:sz w:val="24"/>
          <w:szCs w:val="24"/>
        </w:rPr>
      </w:pPr>
      <w:r w:rsidRPr="00CD5911">
        <w:rPr>
          <w:rFonts w:ascii="Times New Roman" w:hAnsi="Times New Roman" w:cs="Times New Roman"/>
          <w:sz w:val="24"/>
          <w:szCs w:val="24"/>
        </w:rPr>
        <w:t>Public Comment Period</w:t>
      </w:r>
    </w:p>
    <w:p w:rsidR="00375A2F" w:rsidRDefault="001E0180" w:rsidP="00375A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September 25, 2015</w:t>
      </w:r>
      <w:r w:rsidR="00CD5911">
        <w:rPr>
          <w:rFonts w:ascii="Times New Roman" w:hAnsi="Times New Roman" w:cs="Times New Roman"/>
          <w:sz w:val="24"/>
          <w:szCs w:val="24"/>
        </w:rPr>
        <w:t xml:space="preserve"> </w:t>
      </w:r>
      <w:r w:rsidR="00194BE5">
        <w:rPr>
          <w:rFonts w:ascii="Times New Roman" w:hAnsi="Times New Roman" w:cs="Times New Roman"/>
          <w:sz w:val="24"/>
          <w:szCs w:val="24"/>
        </w:rPr>
        <w:t>t</w:t>
      </w:r>
      <w:r>
        <w:rPr>
          <w:rFonts w:ascii="Times New Roman" w:hAnsi="Times New Roman" w:cs="Times New Roman"/>
          <w:sz w:val="24"/>
          <w:szCs w:val="24"/>
        </w:rPr>
        <w:t>hrough October 24, 2015</w:t>
      </w:r>
    </w:p>
    <w:p w:rsidR="006B313E" w:rsidRPr="00CD5911" w:rsidRDefault="007D495F" w:rsidP="00375A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And a</w:t>
      </w:r>
      <w:r w:rsidR="006B313E">
        <w:rPr>
          <w:rFonts w:ascii="Times New Roman" w:hAnsi="Times New Roman" w:cs="Times New Roman"/>
          <w:sz w:val="24"/>
          <w:szCs w:val="24"/>
        </w:rPr>
        <w:t xml:space="preserve"> </w:t>
      </w:r>
      <w:r w:rsidR="00A8703E">
        <w:rPr>
          <w:rFonts w:ascii="Times New Roman" w:hAnsi="Times New Roman" w:cs="Times New Roman"/>
          <w:sz w:val="24"/>
          <w:szCs w:val="24"/>
        </w:rPr>
        <w:t>February</w:t>
      </w:r>
      <w:r w:rsidR="006B313E">
        <w:rPr>
          <w:rFonts w:ascii="Times New Roman" w:hAnsi="Times New Roman" w:cs="Times New Roman"/>
          <w:sz w:val="24"/>
          <w:szCs w:val="24"/>
        </w:rPr>
        <w:t xml:space="preserve"> 4, 2016 Public Meeting</w:t>
      </w:r>
    </w:p>
    <w:p w:rsidR="00375A2F" w:rsidRPr="00CD5911" w:rsidRDefault="00375A2F">
      <w:pPr>
        <w:rPr>
          <w:rFonts w:ascii="Times New Roman" w:hAnsi="Times New Roman" w:cs="Times New Roman"/>
          <w:sz w:val="24"/>
          <w:szCs w:val="24"/>
        </w:rPr>
      </w:pPr>
    </w:p>
    <w:p w:rsidR="00375A2F" w:rsidRPr="00CD5911" w:rsidRDefault="00A33619">
      <w:pPr>
        <w:rPr>
          <w:rFonts w:ascii="Times New Roman" w:hAnsi="Times New Roman" w:cs="Times New Roman"/>
          <w:sz w:val="24"/>
          <w:szCs w:val="24"/>
        </w:rPr>
      </w:pPr>
      <w:r w:rsidRPr="00CD5911">
        <w:rPr>
          <w:rFonts w:ascii="Times New Roman" w:hAnsi="Times New Roman" w:cs="Times New Roman"/>
          <w:sz w:val="24"/>
          <w:szCs w:val="24"/>
        </w:rPr>
        <w:t>Several comments were received d</w:t>
      </w:r>
      <w:r w:rsidR="00375A2F" w:rsidRPr="00CD5911">
        <w:rPr>
          <w:rFonts w:ascii="Times New Roman" w:hAnsi="Times New Roman" w:cs="Times New Roman"/>
          <w:sz w:val="24"/>
          <w:szCs w:val="24"/>
        </w:rPr>
        <w:t>uring the</w:t>
      </w:r>
      <w:r w:rsidR="006003BD">
        <w:rPr>
          <w:rFonts w:ascii="Times New Roman" w:hAnsi="Times New Roman" w:cs="Times New Roman"/>
          <w:sz w:val="24"/>
          <w:szCs w:val="24"/>
        </w:rPr>
        <w:t xml:space="preserve"> </w:t>
      </w:r>
      <w:r w:rsidR="006003BD" w:rsidRPr="00CD5911">
        <w:rPr>
          <w:rFonts w:ascii="Times New Roman" w:hAnsi="Times New Roman" w:cs="Times New Roman"/>
          <w:sz w:val="24"/>
          <w:szCs w:val="24"/>
        </w:rPr>
        <w:t>draft Brownfields Agreement</w:t>
      </w:r>
      <w:r w:rsidR="00375A2F" w:rsidRPr="00CD5911">
        <w:rPr>
          <w:rFonts w:ascii="Times New Roman" w:hAnsi="Times New Roman" w:cs="Times New Roman"/>
          <w:sz w:val="24"/>
          <w:szCs w:val="24"/>
        </w:rPr>
        <w:t xml:space="preserve"> public comment period f</w:t>
      </w:r>
      <w:r w:rsidR="001E0180">
        <w:rPr>
          <w:rFonts w:ascii="Times New Roman" w:hAnsi="Times New Roman" w:cs="Times New Roman"/>
          <w:sz w:val="24"/>
          <w:szCs w:val="24"/>
        </w:rPr>
        <w:t xml:space="preserve">or the Former BASF </w:t>
      </w:r>
      <w:r w:rsidR="00375A2F" w:rsidRPr="00CD5911">
        <w:rPr>
          <w:rFonts w:ascii="Times New Roman" w:hAnsi="Times New Roman" w:cs="Times New Roman"/>
          <w:sz w:val="24"/>
          <w:szCs w:val="24"/>
        </w:rPr>
        <w:t>Landfill</w:t>
      </w:r>
      <w:r w:rsidR="001E0180">
        <w:rPr>
          <w:rFonts w:ascii="Times New Roman" w:hAnsi="Times New Roman" w:cs="Times New Roman"/>
          <w:sz w:val="24"/>
          <w:szCs w:val="24"/>
        </w:rPr>
        <w:t xml:space="preserve"> property</w:t>
      </w:r>
      <w:r w:rsidR="00375A2F" w:rsidRPr="00CD5911">
        <w:rPr>
          <w:rFonts w:ascii="Times New Roman" w:hAnsi="Times New Roman" w:cs="Times New Roman"/>
          <w:sz w:val="24"/>
          <w:szCs w:val="24"/>
        </w:rPr>
        <w:t xml:space="preserve"> in Asheville, NC</w:t>
      </w:r>
      <w:r w:rsidR="00A65BD9">
        <w:rPr>
          <w:rFonts w:ascii="Times New Roman" w:hAnsi="Times New Roman" w:cs="Times New Roman"/>
          <w:sz w:val="24"/>
          <w:szCs w:val="24"/>
        </w:rPr>
        <w:t>.  Only</w:t>
      </w:r>
      <w:r w:rsidRPr="00CD5911">
        <w:rPr>
          <w:rFonts w:ascii="Times New Roman" w:hAnsi="Times New Roman" w:cs="Times New Roman"/>
          <w:sz w:val="24"/>
          <w:szCs w:val="24"/>
        </w:rPr>
        <w:t xml:space="preserve"> comments concerning the draft Brownfields Agreement</w:t>
      </w:r>
      <w:r w:rsidR="00A65BD9">
        <w:rPr>
          <w:rFonts w:ascii="Times New Roman" w:hAnsi="Times New Roman" w:cs="Times New Roman"/>
          <w:sz w:val="24"/>
          <w:szCs w:val="24"/>
        </w:rPr>
        <w:t xml:space="preserve"> and Brownfields Property</w:t>
      </w:r>
      <w:r w:rsidRPr="00CD5911">
        <w:rPr>
          <w:rFonts w:ascii="Times New Roman" w:hAnsi="Times New Roman" w:cs="Times New Roman"/>
          <w:sz w:val="24"/>
          <w:szCs w:val="24"/>
        </w:rPr>
        <w:t xml:space="preserve"> were considered during the Brownfields decision process.  The response to comments are provided below with </w:t>
      </w:r>
      <w:r w:rsidR="00BC2425">
        <w:rPr>
          <w:rFonts w:ascii="Times New Roman" w:hAnsi="Times New Roman" w:cs="Times New Roman"/>
          <w:sz w:val="24"/>
          <w:szCs w:val="24"/>
        </w:rPr>
        <w:t>any</w:t>
      </w:r>
      <w:r w:rsidR="000725E9">
        <w:rPr>
          <w:rFonts w:ascii="Times New Roman" w:hAnsi="Times New Roman" w:cs="Times New Roman"/>
          <w:sz w:val="24"/>
          <w:szCs w:val="24"/>
        </w:rPr>
        <w:t xml:space="preserve"> subsequent</w:t>
      </w:r>
      <w:r w:rsidR="00BC2425">
        <w:rPr>
          <w:rFonts w:ascii="Times New Roman" w:hAnsi="Times New Roman" w:cs="Times New Roman"/>
          <w:sz w:val="24"/>
          <w:szCs w:val="24"/>
        </w:rPr>
        <w:t xml:space="preserve"> </w:t>
      </w:r>
      <w:r w:rsidRPr="00CD5911">
        <w:rPr>
          <w:rFonts w:ascii="Times New Roman" w:hAnsi="Times New Roman" w:cs="Times New Roman"/>
          <w:sz w:val="24"/>
          <w:szCs w:val="24"/>
        </w:rPr>
        <w:t>change</w:t>
      </w:r>
      <w:r w:rsidR="001E0180">
        <w:rPr>
          <w:rFonts w:ascii="Times New Roman" w:hAnsi="Times New Roman" w:cs="Times New Roman"/>
          <w:sz w:val="24"/>
          <w:szCs w:val="24"/>
        </w:rPr>
        <w:t xml:space="preserve">s to the Brownfields Agreement </w:t>
      </w:r>
      <w:r w:rsidRPr="00CD5911">
        <w:rPr>
          <w:rFonts w:ascii="Times New Roman" w:hAnsi="Times New Roman" w:cs="Times New Roman"/>
          <w:sz w:val="24"/>
          <w:szCs w:val="24"/>
        </w:rPr>
        <w:t>indicated beneath the response.</w:t>
      </w:r>
    </w:p>
    <w:p w:rsidR="00CD5911" w:rsidRPr="00CD5911" w:rsidRDefault="00CD5911" w:rsidP="00CD5911">
      <w:pPr>
        <w:rPr>
          <w:rFonts w:ascii="Times New Roman" w:hAnsi="Times New Roman" w:cs="Times New Roman"/>
          <w:sz w:val="24"/>
          <w:szCs w:val="24"/>
        </w:rPr>
      </w:pPr>
      <w:r w:rsidRPr="00CD5911">
        <w:rPr>
          <w:rFonts w:ascii="Times New Roman" w:hAnsi="Times New Roman" w:cs="Times New Roman"/>
          <w:b/>
          <w:sz w:val="24"/>
          <w:szCs w:val="24"/>
        </w:rPr>
        <w:t xml:space="preserve">A comment was raised </w:t>
      </w:r>
      <w:r w:rsidR="00FC5710">
        <w:rPr>
          <w:rFonts w:ascii="Times New Roman" w:hAnsi="Times New Roman" w:cs="Times New Roman"/>
          <w:b/>
          <w:sz w:val="24"/>
          <w:szCs w:val="24"/>
        </w:rPr>
        <w:t xml:space="preserve">regarding </w:t>
      </w:r>
      <w:r w:rsidR="001E0180">
        <w:rPr>
          <w:rFonts w:ascii="Times New Roman" w:hAnsi="Times New Roman" w:cs="Times New Roman"/>
          <w:b/>
          <w:sz w:val="24"/>
          <w:szCs w:val="24"/>
        </w:rPr>
        <w:t xml:space="preserve">the General Warranty Deed for the property.  Specifically a concern was raised that the use, a “playground” allowed in the Brownfields Agreement is restricted under the General Warranty Deed.  </w:t>
      </w:r>
    </w:p>
    <w:p w:rsidR="00111C95" w:rsidRDefault="00CD5911" w:rsidP="006003BD">
      <w:pPr>
        <w:ind w:left="720"/>
        <w:rPr>
          <w:rFonts w:ascii="Times New Roman" w:hAnsi="Times New Roman" w:cs="Times New Roman"/>
          <w:sz w:val="24"/>
          <w:szCs w:val="24"/>
        </w:rPr>
      </w:pPr>
      <w:r w:rsidRPr="00CD5911">
        <w:rPr>
          <w:rFonts w:ascii="Times New Roman" w:hAnsi="Times New Roman" w:cs="Times New Roman"/>
          <w:sz w:val="24"/>
          <w:szCs w:val="24"/>
        </w:rPr>
        <w:t xml:space="preserve">The </w:t>
      </w:r>
      <w:r w:rsidR="00BC2425">
        <w:rPr>
          <w:rFonts w:ascii="Times New Roman" w:hAnsi="Times New Roman" w:cs="Times New Roman"/>
          <w:sz w:val="24"/>
          <w:szCs w:val="24"/>
        </w:rPr>
        <w:t xml:space="preserve">Brownfields </w:t>
      </w:r>
      <w:r w:rsidRPr="00CD5911">
        <w:rPr>
          <w:rFonts w:ascii="Times New Roman" w:hAnsi="Times New Roman" w:cs="Times New Roman"/>
          <w:sz w:val="24"/>
          <w:szCs w:val="24"/>
        </w:rPr>
        <w:t xml:space="preserve">agreement </w:t>
      </w:r>
      <w:r w:rsidR="00111C95" w:rsidRPr="00111C95">
        <w:rPr>
          <w:rFonts w:ascii="Times New Roman" w:hAnsi="Times New Roman" w:cs="Times New Roman"/>
          <w:sz w:val="24"/>
          <w:szCs w:val="24"/>
        </w:rPr>
        <w:t>as outlined sets out conditions with which Enka Partners</w:t>
      </w:r>
      <w:r w:rsidR="00324F54">
        <w:rPr>
          <w:rFonts w:ascii="Times New Roman" w:hAnsi="Times New Roman" w:cs="Times New Roman"/>
          <w:sz w:val="24"/>
          <w:szCs w:val="24"/>
        </w:rPr>
        <w:t>(the Brownfields prospective developer)</w:t>
      </w:r>
      <w:r w:rsidR="00111C95" w:rsidRPr="00111C95">
        <w:rPr>
          <w:rFonts w:ascii="Times New Roman" w:hAnsi="Times New Roman" w:cs="Times New Roman"/>
          <w:sz w:val="24"/>
          <w:szCs w:val="24"/>
        </w:rPr>
        <w:t xml:space="preserve"> will need to comply in order to receive liability protection for existing contamination on the property as they exercise their property rights to use the property in a manner they have proposed to use it.  Therefore, thi</w:t>
      </w:r>
      <w:r w:rsidR="00111C95">
        <w:rPr>
          <w:rFonts w:ascii="Times New Roman" w:hAnsi="Times New Roman" w:cs="Times New Roman"/>
          <w:sz w:val="24"/>
          <w:szCs w:val="24"/>
        </w:rPr>
        <w:t>s agreement does not “allow” playgrounds</w:t>
      </w:r>
      <w:r w:rsidR="00111C95" w:rsidRPr="00111C95">
        <w:rPr>
          <w:rFonts w:ascii="Times New Roman" w:hAnsi="Times New Roman" w:cs="Times New Roman"/>
          <w:sz w:val="24"/>
          <w:szCs w:val="24"/>
        </w:rPr>
        <w:t>; it merely sets forth the conditions which Enka Partner</w:t>
      </w:r>
      <w:r w:rsidR="004879D1">
        <w:rPr>
          <w:rFonts w:ascii="Times New Roman" w:hAnsi="Times New Roman" w:cs="Times New Roman"/>
          <w:sz w:val="24"/>
          <w:szCs w:val="24"/>
        </w:rPr>
        <w:t xml:space="preserve">s </w:t>
      </w:r>
      <w:r w:rsidR="00C63FC8">
        <w:rPr>
          <w:rFonts w:ascii="Times New Roman" w:hAnsi="Times New Roman" w:cs="Times New Roman"/>
          <w:sz w:val="24"/>
          <w:szCs w:val="24"/>
        </w:rPr>
        <w:t xml:space="preserve">comply with in order to </w:t>
      </w:r>
      <w:r w:rsidR="004879D1">
        <w:rPr>
          <w:rFonts w:ascii="Times New Roman" w:hAnsi="Times New Roman" w:cs="Times New Roman"/>
          <w:sz w:val="24"/>
          <w:szCs w:val="24"/>
        </w:rPr>
        <w:t>limit its liabilities to DEQ</w:t>
      </w:r>
      <w:r w:rsidR="00111C95" w:rsidRPr="00111C95">
        <w:rPr>
          <w:rFonts w:ascii="Times New Roman" w:hAnsi="Times New Roman" w:cs="Times New Roman"/>
          <w:sz w:val="24"/>
          <w:szCs w:val="24"/>
        </w:rPr>
        <w:t xml:space="preserve"> for the already existing contamination at the property.</w:t>
      </w:r>
      <w:r w:rsidR="00111C95">
        <w:rPr>
          <w:rFonts w:ascii="Times New Roman" w:hAnsi="Times New Roman" w:cs="Times New Roman"/>
          <w:sz w:val="24"/>
          <w:szCs w:val="24"/>
        </w:rPr>
        <w:t xml:space="preserve"> </w:t>
      </w:r>
    </w:p>
    <w:p w:rsidR="00C92D8C" w:rsidRDefault="00C92D8C" w:rsidP="006003BD">
      <w:pPr>
        <w:ind w:left="720"/>
        <w:rPr>
          <w:rFonts w:ascii="Times New Roman" w:hAnsi="Times New Roman" w:cs="Times New Roman"/>
          <w:sz w:val="24"/>
          <w:szCs w:val="24"/>
        </w:rPr>
      </w:pPr>
      <w:r>
        <w:rPr>
          <w:rFonts w:ascii="Times New Roman" w:hAnsi="Times New Roman" w:cs="Times New Roman"/>
          <w:sz w:val="24"/>
          <w:szCs w:val="24"/>
        </w:rPr>
        <w:t xml:space="preserve">The Brownfields Program </w:t>
      </w:r>
      <w:r w:rsidR="00111C95">
        <w:rPr>
          <w:rFonts w:ascii="Times New Roman" w:hAnsi="Times New Roman" w:cs="Times New Roman"/>
          <w:sz w:val="24"/>
          <w:szCs w:val="24"/>
        </w:rPr>
        <w:t>does evaluate</w:t>
      </w:r>
      <w:r>
        <w:rPr>
          <w:rFonts w:ascii="Times New Roman" w:hAnsi="Times New Roman" w:cs="Times New Roman"/>
          <w:sz w:val="24"/>
          <w:szCs w:val="24"/>
        </w:rPr>
        <w:t xml:space="preserve"> the environmental conditions at a property, the risks, if any, associated with that intended use and determines if the use is acceptable based on this evaluation.  The risks with a landfill are exposure to the material in the landfill and the potential for landfill gases.  These risks have been addressed in the agreement with a minimum of 2 feet of clean fill and a landfill gas assessment including mitigation measures if landfill gas is detected.  Based on this evaluation the Brownfields Program has determined that with appropriate measures exposure can be eliminated and the proposed uses are acceptable from an environmental perspective, which is what the Brownfields agreement addresses.  </w:t>
      </w:r>
    </w:p>
    <w:p w:rsidR="00C92D8C" w:rsidRDefault="00C92D8C" w:rsidP="006003BD">
      <w:pPr>
        <w:ind w:left="720"/>
        <w:rPr>
          <w:rFonts w:ascii="Times New Roman" w:hAnsi="Times New Roman" w:cs="Times New Roman"/>
          <w:sz w:val="24"/>
          <w:szCs w:val="24"/>
        </w:rPr>
      </w:pPr>
      <w:r>
        <w:rPr>
          <w:rFonts w:ascii="Times New Roman" w:hAnsi="Times New Roman" w:cs="Times New Roman"/>
          <w:sz w:val="24"/>
          <w:szCs w:val="24"/>
        </w:rPr>
        <w:lastRenderedPageBreak/>
        <w:t>The General Warranty Deed for the property is not an environmental matter that the Department of Environmental Quality has any jurisdiction over.  It is a matter for the private parties that were involved with the real estate transaction of this property</w:t>
      </w:r>
      <w:r w:rsidR="00111C95">
        <w:rPr>
          <w:rFonts w:ascii="Times New Roman" w:hAnsi="Times New Roman" w:cs="Times New Roman"/>
          <w:sz w:val="24"/>
          <w:szCs w:val="24"/>
        </w:rPr>
        <w:t xml:space="preserve"> to resolve</w:t>
      </w:r>
      <w:r w:rsidR="008E50C6">
        <w:rPr>
          <w:rFonts w:ascii="Times New Roman" w:hAnsi="Times New Roman" w:cs="Times New Roman"/>
          <w:sz w:val="24"/>
          <w:szCs w:val="24"/>
        </w:rPr>
        <w:t>.  In all circumstances, the prospective developer will be required to meet the requirements of the Brownfields Property Reuse Act in order to receive the Act’s liability protections.</w:t>
      </w:r>
    </w:p>
    <w:p w:rsidR="00CD5911" w:rsidRPr="00CD5911" w:rsidRDefault="00C63FC8" w:rsidP="006003BD">
      <w:pPr>
        <w:ind w:left="720"/>
        <w:rPr>
          <w:rFonts w:ascii="Times New Roman" w:hAnsi="Times New Roman" w:cs="Times New Roman"/>
          <w:sz w:val="24"/>
          <w:szCs w:val="24"/>
        </w:rPr>
      </w:pPr>
      <w:r>
        <w:rPr>
          <w:rFonts w:ascii="Times New Roman" w:hAnsi="Times New Roman" w:cs="Times New Roman"/>
          <w:sz w:val="24"/>
          <w:szCs w:val="24"/>
        </w:rPr>
        <w:t xml:space="preserve">During the drafting of this Response to Public Comments Document, DEQ received communication from Enka Partners that they desired to remove the reference to </w:t>
      </w:r>
      <w:r w:rsidR="007D495F">
        <w:rPr>
          <w:rFonts w:ascii="Times New Roman" w:hAnsi="Times New Roman" w:cs="Times New Roman"/>
          <w:sz w:val="24"/>
          <w:szCs w:val="24"/>
        </w:rPr>
        <w:t xml:space="preserve">play areas or </w:t>
      </w:r>
      <w:r>
        <w:rPr>
          <w:rFonts w:ascii="Times New Roman" w:hAnsi="Times New Roman" w:cs="Times New Roman"/>
          <w:sz w:val="24"/>
          <w:szCs w:val="24"/>
        </w:rPr>
        <w:t>playgrounds from the agreement.  As a result</w:t>
      </w:r>
      <w:r w:rsidR="00200D2A">
        <w:rPr>
          <w:rFonts w:ascii="Times New Roman" w:hAnsi="Times New Roman" w:cs="Times New Roman"/>
          <w:sz w:val="24"/>
          <w:szCs w:val="24"/>
        </w:rPr>
        <w:t>,</w:t>
      </w:r>
      <w:r>
        <w:rPr>
          <w:rFonts w:ascii="Times New Roman" w:hAnsi="Times New Roman" w:cs="Times New Roman"/>
          <w:sz w:val="24"/>
          <w:szCs w:val="24"/>
        </w:rPr>
        <w:t xml:space="preserve"> DEQ </w:t>
      </w:r>
      <w:r w:rsidR="00200D2A">
        <w:rPr>
          <w:rFonts w:ascii="Times New Roman" w:hAnsi="Times New Roman" w:cs="Times New Roman"/>
          <w:sz w:val="24"/>
          <w:szCs w:val="24"/>
        </w:rPr>
        <w:t xml:space="preserve">has revised </w:t>
      </w:r>
      <w:r>
        <w:rPr>
          <w:rFonts w:ascii="Times New Roman" w:hAnsi="Times New Roman" w:cs="Times New Roman"/>
          <w:sz w:val="24"/>
          <w:szCs w:val="24"/>
        </w:rPr>
        <w:t xml:space="preserve">the final BFA </w:t>
      </w:r>
      <w:r w:rsidR="00200D2A">
        <w:rPr>
          <w:rFonts w:ascii="Times New Roman" w:hAnsi="Times New Roman" w:cs="Times New Roman"/>
          <w:sz w:val="24"/>
          <w:szCs w:val="24"/>
        </w:rPr>
        <w:t>to remove any</w:t>
      </w:r>
      <w:r>
        <w:rPr>
          <w:rFonts w:ascii="Times New Roman" w:hAnsi="Times New Roman" w:cs="Times New Roman"/>
          <w:sz w:val="24"/>
          <w:szCs w:val="24"/>
        </w:rPr>
        <w:t xml:space="preserve"> specific mention of </w:t>
      </w:r>
      <w:r w:rsidR="007D495F">
        <w:rPr>
          <w:rFonts w:ascii="Times New Roman" w:hAnsi="Times New Roman" w:cs="Times New Roman"/>
          <w:sz w:val="24"/>
          <w:szCs w:val="24"/>
        </w:rPr>
        <w:t xml:space="preserve">play areas or </w:t>
      </w:r>
      <w:r>
        <w:rPr>
          <w:rFonts w:ascii="Times New Roman" w:hAnsi="Times New Roman" w:cs="Times New Roman"/>
          <w:sz w:val="24"/>
          <w:szCs w:val="24"/>
        </w:rPr>
        <w:t xml:space="preserve">playgrounds as an allowable land use. </w:t>
      </w:r>
    </w:p>
    <w:p w:rsidR="00527822" w:rsidRDefault="00527822" w:rsidP="008865AA">
      <w:pPr>
        <w:spacing w:after="0" w:line="240" w:lineRule="auto"/>
        <w:ind w:left="720"/>
        <w:rPr>
          <w:rFonts w:ascii="Times New Roman" w:hAnsi="Times New Roman" w:cs="Times New Roman"/>
          <w:sz w:val="24"/>
          <w:szCs w:val="24"/>
        </w:rPr>
      </w:pPr>
    </w:p>
    <w:p w:rsidR="00527822" w:rsidRPr="00CD5911" w:rsidRDefault="00527822" w:rsidP="00527822">
      <w:pPr>
        <w:rPr>
          <w:rFonts w:ascii="Times New Roman" w:hAnsi="Times New Roman" w:cs="Times New Roman"/>
          <w:sz w:val="24"/>
          <w:szCs w:val="24"/>
        </w:rPr>
      </w:pPr>
      <w:r w:rsidRPr="00CD5911">
        <w:rPr>
          <w:rFonts w:ascii="Times New Roman" w:hAnsi="Times New Roman" w:cs="Times New Roman"/>
          <w:b/>
          <w:sz w:val="24"/>
          <w:szCs w:val="24"/>
        </w:rPr>
        <w:t xml:space="preserve">A comment was raised </w:t>
      </w:r>
      <w:r>
        <w:rPr>
          <w:rFonts w:ascii="Times New Roman" w:hAnsi="Times New Roman" w:cs="Times New Roman"/>
          <w:b/>
          <w:sz w:val="24"/>
          <w:szCs w:val="24"/>
        </w:rPr>
        <w:t xml:space="preserve">regarding </w:t>
      </w:r>
      <w:r w:rsidRPr="00CD5911">
        <w:rPr>
          <w:rFonts w:ascii="Times New Roman" w:hAnsi="Times New Roman" w:cs="Times New Roman"/>
          <w:b/>
          <w:sz w:val="24"/>
          <w:szCs w:val="24"/>
        </w:rPr>
        <w:t xml:space="preserve">concern that </w:t>
      </w:r>
      <w:r>
        <w:rPr>
          <w:rFonts w:ascii="Times New Roman" w:hAnsi="Times New Roman" w:cs="Times New Roman"/>
          <w:b/>
          <w:sz w:val="24"/>
          <w:szCs w:val="24"/>
        </w:rPr>
        <w:t>the proposed redevelopment poses additional and unfair risks upon BASF.</w:t>
      </w:r>
    </w:p>
    <w:p w:rsidR="00527822" w:rsidRDefault="00527822" w:rsidP="008865AA">
      <w:pPr>
        <w:spacing w:after="0" w:line="240" w:lineRule="auto"/>
        <w:ind w:left="720"/>
        <w:rPr>
          <w:rFonts w:ascii="Times New Roman" w:hAnsi="Times New Roman" w:cs="Times New Roman"/>
          <w:sz w:val="24"/>
          <w:szCs w:val="24"/>
        </w:rPr>
      </w:pPr>
    </w:p>
    <w:p w:rsidR="00F81279" w:rsidRDefault="00527822" w:rsidP="00F8127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DEQ believes the Brownfields agreement specifically addresses this concern with Land Use Restrictions that </w:t>
      </w:r>
      <w:r w:rsidR="00F81279">
        <w:rPr>
          <w:rFonts w:ascii="Times New Roman" w:hAnsi="Times New Roman" w:cs="Times New Roman"/>
          <w:sz w:val="24"/>
          <w:szCs w:val="24"/>
        </w:rPr>
        <w:t>dictate</w:t>
      </w:r>
      <w:r>
        <w:rPr>
          <w:rFonts w:ascii="Times New Roman" w:hAnsi="Times New Roman" w:cs="Times New Roman"/>
          <w:sz w:val="24"/>
          <w:szCs w:val="24"/>
        </w:rPr>
        <w:t xml:space="preserve"> these issues and identify the current owner of the property as responsible.  </w:t>
      </w:r>
      <w:r w:rsidR="00CD5911" w:rsidRPr="00CD5911">
        <w:rPr>
          <w:rFonts w:ascii="Times New Roman" w:hAnsi="Times New Roman" w:cs="Times New Roman"/>
          <w:sz w:val="24"/>
          <w:szCs w:val="24"/>
        </w:rPr>
        <w:t>P</w:t>
      </w:r>
      <w:r w:rsidR="00F81279">
        <w:rPr>
          <w:rFonts w:ascii="Times New Roman" w:hAnsi="Times New Roman" w:cs="Times New Roman"/>
          <w:sz w:val="24"/>
          <w:szCs w:val="24"/>
        </w:rPr>
        <w:t xml:space="preserve">aragraphs 17.b., 17.c., and 17.e. </w:t>
      </w:r>
      <w:r w:rsidR="00CD5911" w:rsidRPr="00CD5911">
        <w:rPr>
          <w:rFonts w:ascii="Times New Roman" w:hAnsi="Times New Roman" w:cs="Times New Roman"/>
          <w:sz w:val="24"/>
          <w:szCs w:val="24"/>
        </w:rPr>
        <w:t xml:space="preserve">of the </w:t>
      </w:r>
      <w:r w:rsidR="00684081">
        <w:rPr>
          <w:rFonts w:ascii="Times New Roman" w:hAnsi="Times New Roman" w:cs="Times New Roman"/>
          <w:sz w:val="24"/>
          <w:szCs w:val="24"/>
        </w:rPr>
        <w:t>B</w:t>
      </w:r>
      <w:r w:rsidR="00CD5911" w:rsidRPr="00CD5911">
        <w:rPr>
          <w:rFonts w:ascii="Times New Roman" w:hAnsi="Times New Roman" w:cs="Times New Roman"/>
          <w:sz w:val="24"/>
          <w:szCs w:val="24"/>
        </w:rPr>
        <w:t xml:space="preserve">rownfields agreement </w:t>
      </w:r>
      <w:r w:rsidR="00F81279">
        <w:rPr>
          <w:rFonts w:ascii="Times New Roman" w:hAnsi="Times New Roman" w:cs="Times New Roman"/>
          <w:sz w:val="24"/>
          <w:szCs w:val="24"/>
        </w:rPr>
        <w:t>are the land use restrictions that address this issue and are included for ease of reference:</w:t>
      </w:r>
    </w:p>
    <w:p w:rsidR="00F81279" w:rsidRDefault="00F81279" w:rsidP="00F81279">
      <w:pPr>
        <w:spacing w:after="0" w:line="240" w:lineRule="auto"/>
        <w:ind w:left="720"/>
        <w:rPr>
          <w:rFonts w:ascii="Times New Roman" w:hAnsi="Times New Roman" w:cs="Times New Roman"/>
          <w:sz w:val="24"/>
          <w:szCs w:val="24"/>
        </w:rPr>
      </w:pPr>
    </w:p>
    <w:p w:rsidR="00F81279" w:rsidRPr="00F81279" w:rsidRDefault="00F81279" w:rsidP="004879D1">
      <w:pPr>
        <w:spacing w:line="240" w:lineRule="auto"/>
        <w:ind w:left="720" w:firstLine="720"/>
        <w:rPr>
          <w:rFonts w:ascii="Times New Roman" w:hAnsi="Times New Roman" w:cs="Times New Roman"/>
          <w:i/>
          <w:sz w:val="24"/>
          <w:szCs w:val="24"/>
        </w:rPr>
      </w:pPr>
      <w:r w:rsidRPr="00F81279">
        <w:rPr>
          <w:rFonts w:ascii="Times New Roman" w:hAnsi="Times New Roman" w:cs="Times New Roman"/>
          <w:i/>
          <w:sz w:val="24"/>
          <w:szCs w:val="24"/>
        </w:rPr>
        <w:t>17.b.  No physical redevelopment of the Property may occur unless and until DEQ’s Solid Waste Section and Brownfields Program conclude in writing that the proposed redevelopment will not negatively affect the cover, structural integrity and monitoring systems at the closed landfill facility.</w:t>
      </w:r>
    </w:p>
    <w:p w:rsidR="00F81279" w:rsidRPr="00F81279" w:rsidRDefault="00F81279" w:rsidP="004879D1">
      <w:pPr>
        <w:spacing w:line="240" w:lineRule="auto"/>
        <w:ind w:left="720" w:firstLine="720"/>
        <w:rPr>
          <w:rFonts w:ascii="Times New Roman" w:hAnsi="Times New Roman" w:cs="Times New Roman"/>
          <w:i/>
          <w:sz w:val="24"/>
          <w:szCs w:val="24"/>
        </w:rPr>
      </w:pPr>
      <w:r w:rsidRPr="00F81279">
        <w:rPr>
          <w:rFonts w:ascii="Times New Roman" w:hAnsi="Times New Roman" w:cs="Times New Roman"/>
          <w:i/>
          <w:sz w:val="24"/>
          <w:szCs w:val="24"/>
        </w:rPr>
        <w:t>17.c. No physical redevelopment of the Property may occur unless and until DEQ’s Solid Waste Section and Brownfields Program review a plan for redevelopment (Redevelopment Plan) that will address:</w:t>
      </w:r>
    </w:p>
    <w:p w:rsidR="00F81279" w:rsidRPr="00F81279" w:rsidRDefault="00F81279" w:rsidP="00F81279">
      <w:pPr>
        <w:spacing w:line="240" w:lineRule="auto"/>
        <w:ind w:left="720" w:firstLine="1440"/>
        <w:rPr>
          <w:rFonts w:ascii="Times New Roman" w:hAnsi="Times New Roman" w:cs="Times New Roman"/>
          <w:i/>
          <w:sz w:val="24"/>
          <w:szCs w:val="24"/>
        </w:rPr>
      </w:pPr>
      <w:r w:rsidRPr="00F81279">
        <w:rPr>
          <w:rFonts w:ascii="Times New Roman" w:hAnsi="Times New Roman" w:cs="Times New Roman"/>
          <w:i/>
          <w:sz w:val="24"/>
          <w:szCs w:val="24"/>
        </w:rPr>
        <w:t>i.  public safety for all aspects of the redevelopment;</w:t>
      </w:r>
    </w:p>
    <w:p w:rsidR="00F81279" w:rsidRPr="00F81279" w:rsidRDefault="00F81279" w:rsidP="00F81279">
      <w:pPr>
        <w:spacing w:line="240" w:lineRule="auto"/>
        <w:ind w:left="720" w:firstLine="1440"/>
        <w:rPr>
          <w:rFonts w:ascii="Times New Roman" w:hAnsi="Times New Roman" w:cs="Times New Roman"/>
          <w:i/>
          <w:sz w:val="24"/>
          <w:szCs w:val="24"/>
        </w:rPr>
      </w:pPr>
      <w:r w:rsidRPr="00F81279">
        <w:rPr>
          <w:rFonts w:ascii="Times New Roman" w:hAnsi="Times New Roman" w:cs="Times New Roman"/>
          <w:i/>
          <w:sz w:val="24"/>
          <w:szCs w:val="24"/>
        </w:rPr>
        <w:t>ii.  maintenance of the landfill cover, structural integrity and monitoring systems;</w:t>
      </w:r>
    </w:p>
    <w:p w:rsidR="00F81279" w:rsidRPr="00F81279" w:rsidRDefault="00F81279" w:rsidP="00F81279">
      <w:pPr>
        <w:spacing w:line="240" w:lineRule="auto"/>
        <w:ind w:left="720" w:firstLine="1440"/>
        <w:rPr>
          <w:rFonts w:ascii="Times New Roman" w:hAnsi="Times New Roman" w:cs="Times New Roman"/>
          <w:i/>
          <w:sz w:val="24"/>
          <w:szCs w:val="24"/>
        </w:rPr>
      </w:pPr>
      <w:r w:rsidRPr="00F81279">
        <w:rPr>
          <w:rFonts w:ascii="Times New Roman" w:hAnsi="Times New Roman" w:cs="Times New Roman"/>
          <w:i/>
          <w:sz w:val="24"/>
          <w:szCs w:val="24"/>
        </w:rPr>
        <w:t>iii. the plan shall include a minimum of 2 feet of clean fill for any waste containing area of the landfill and the maintenance there of;</w:t>
      </w:r>
    </w:p>
    <w:p w:rsidR="00F81279" w:rsidRPr="00F81279" w:rsidRDefault="00F81279" w:rsidP="00F81279">
      <w:pPr>
        <w:spacing w:line="240" w:lineRule="auto"/>
        <w:ind w:left="720" w:firstLine="1440"/>
        <w:rPr>
          <w:rFonts w:ascii="Times New Roman" w:hAnsi="Times New Roman" w:cs="Times New Roman"/>
          <w:i/>
          <w:sz w:val="24"/>
          <w:szCs w:val="24"/>
        </w:rPr>
      </w:pPr>
      <w:r w:rsidRPr="00F81279">
        <w:rPr>
          <w:rFonts w:ascii="Times New Roman" w:hAnsi="Times New Roman" w:cs="Times New Roman"/>
          <w:i/>
          <w:sz w:val="24"/>
          <w:szCs w:val="24"/>
        </w:rPr>
        <w:t>iv.  assessment and management of methane and landfill gases;</w:t>
      </w:r>
    </w:p>
    <w:p w:rsidR="00F81279" w:rsidRPr="00F81279" w:rsidRDefault="00F81279" w:rsidP="00F81279">
      <w:pPr>
        <w:spacing w:line="240" w:lineRule="auto"/>
        <w:ind w:left="720" w:firstLine="1440"/>
        <w:rPr>
          <w:rFonts w:ascii="Times New Roman" w:hAnsi="Times New Roman" w:cs="Times New Roman"/>
          <w:i/>
          <w:sz w:val="24"/>
          <w:szCs w:val="24"/>
        </w:rPr>
      </w:pPr>
      <w:r w:rsidRPr="00F81279">
        <w:rPr>
          <w:rFonts w:ascii="Times New Roman" w:hAnsi="Times New Roman" w:cs="Times New Roman"/>
          <w:i/>
          <w:sz w:val="24"/>
          <w:szCs w:val="24"/>
        </w:rPr>
        <w:lastRenderedPageBreak/>
        <w:t xml:space="preserve">v.  soil and groundwater management during the redevelopment phase; </w:t>
      </w:r>
    </w:p>
    <w:p w:rsidR="00F81279" w:rsidRPr="00F81279" w:rsidRDefault="00F81279" w:rsidP="00F81279">
      <w:pPr>
        <w:spacing w:line="240" w:lineRule="auto"/>
        <w:ind w:left="720" w:firstLine="1440"/>
        <w:rPr>
          <w:rFonts w:ascii="Times New Roman" w:hAnsi="Times New Roman" w:cs="Times New Roman"/>
          <w:i/>
          <w:sz w:val="24"/>
          <w:szCs w:val="24"/>
        </w:rPr>
      </w:pPr>
      <w:r w:rsidRPr="00F81279">
        <w:rPr>
          <w:rFonts w:ascii="Times New Roman" w:hAnsi="Times New Roman" w:cs="Times New Roman"/>
          <w:i/>
          <w:sz w:val="24"/>
          <w:szCs w:val="24"/>
        </w:rPr>
        <w:t xml:space="preserve">vi. the plan shall be certified by a licensed Professional Engineer in North Carolina; and </w:t>
      </w:r>
    </w:p>
    <w:p w:rsidR="00CD5911" w:rsidRDefault="00F81279" w:rsidP="006B313E">
      <w:pPr>
        <w:spacing w:after="0" w:line="240" w:lineRule="auto"/>
        <w:ind w:left="720" w:firstLine="1440"/>
        <w:rPr>
          <w:rFonts w:ascii="Times New Roman" w:hAnsi="Times New Roman" w:cs="Times New Roman"/>
          <w:i/>
          <w:color w:val="000000"/>
          <w:sz w:val="24"/>
          <w:szCs w:val="24"/>
        </w:rPr>
      </w:pPr>
      <w:r w:rsidRPr="00F81279">
        <w:rPr>
          <w:rFonts w:ascii="Times New Roman" w:hAnsi="Times New Roman" w:cs="Times New Roman"/>
          <w:i/>
          <w:sz w:val="24"/>
          <w:szCs w:val="24"/>
        </w:rPr>
        <w:t xml:space="preserve">vii. </w:t>
      </w:r>
      <w:r w:rsidRPr="00F81279">
        <w:rPr>
          <w:rFonts w:ascii="Times New Roman" w:hAnsi="Times New Roman" w:cs="Times New Roman"/>
          <w:i/>
          <w:color w:val="000000"/>
          <w:sz w:val="24"/>
          <w:szCs w:val="24"/>
        </w:rPr>
        <w:t>within 90 days after the conclusion of physical redevelopment</w:t>
      </w:r>
      <w:bookmarkStart w:id="0" w:name="_BPDCD_71"/>
      <w:r w:rsidRPr="00F81279">
        <w:rPr>
          <w:rFonts w:ascii="Times New Roman" w:hAnsi="Times New Roman" w:cs="Times New Roman"/>
          <w:i/>
          <w:color w:val="000000"/>
          <w:sz w:val="24"/>
          <w:szCs w:val="24"/>
        </w:rPr>
        <w:t xml:space="preserve">, the then owner </w:t>
      </w:r>
      <w:bookmarkEnd w:id="0"/>
      <w:r w:rsidRPr="00F81279">
        <w:rPr>
          <w:rFonts w:ascii="Times New Roman" w:hAnsi="Times New Roman" w:cs="Times New Roman"/>
          <w:i/>
          <w:color w:val="000000"/>
          <w:sz w:val="24"/>
          <w:szCs w:val="24"/>
        </w:rPr>
        <w:t>of the Property shall provide DEQ a report</w:t>
      </w:r>
      <w:bookmarkStart w:id="1" w:name="_BPDCD_73"/>
      <w:r w:rsidRPr="00F81279">
        <w:rPr>
          <w:rFonts w:ascii="Times New Roman" w:hAnsi="Times New Roman" w:cs="Times New Roman"/>
          <w:i/>
          <w:color w:val="000000"/>
          <w:sz w:val="24"/>
          <w:szCs w:val="24"/>
        </w:rPr>
        <w:t xml:space="preserve">, </w:t>
      </w:r>
      <w:bookmarkEnd w:id="1"/>
      <w:r w:rsidRPr="00F81279">
        <w:rPr>
          <w:rFonts w:ascii="Times New Roman" w:hAnsi="Times New Roman" w:cs="Times New Roman"/>
          <w:i/>
          <w:color w:val="000000"/>
          <w:sz w:val="24"/>
          <w:szCs w:val="24"/>
        </w:rPr>
        <w:t>subject to written DEQ approval</w:t>
      </w:r>
      <w:bookmarkStart w:id="2" w:name="_BPDCD_74"/>
      <w:r w:rsidRPr="00F81279">
        <w:rPr>
          <w:rFonts w:ascii="Times New Roman" w:hAnsi="Times New Roman" w:cs="Times New Roman"/>
          <w:i/>
          <w:color w:val="000000"/>
          <w:sz w:val="24"/>
          <w:szCs w:val="24"/>
        </w:rPr>
        <w:t xml:space="preserve">, </w:t>
      </w:r>
      <w:bookmarkEnd w:id="2"/>
      <w:r w:rsidRPr="00F81279">
        <w:rPr>
          <w:rFonts w:ascii="Times New Roman" w:hAnsi="Times New Roman" w:cs="Times New Roman"/>
          <w:i/>
          <w:color w:val="000000"/>
          <w:sz w:val="24"/>
          <w:szCs w:val="24"/>
        </w:rPr>
        <w:t xml:space="preserve">on environment-related activities </w:t>
      </w:r>
      <w:bookmarkStart w:id="3" w:name="_BPDCD_75"/>
      <w:r w:rsidRPr="00F81279">
        <w:rPr>
          <w:rFonts w:ascii="Times New Roman" w:hAnsi="Times New Roman" w:cs="Times New Roman"/>
          <w:i/>
          <w:color w:val="000000"/>
          <w:sz w:val="24"/>
          <w:szCs w:val="24"/>
        </w:rPr>
        <w:t xml:space="preserve">conducted pursuant to the Redevelopment Plan, which </w:t>
      </w:r>
      <w:bookmarkEnd w:id="3"/>
      <w:r w:rsidRPr="00F81279">
        <w:rPr>
          <w:rFonts w:ascii="Times New Roman" w:hAnsi="Times New Roman" w:cs="Times New Roman"/>
          <w:i/>
          <w:color w:val="000000"/>
          <w:sz w:val="24"/>
          <w:szCs w:val="24"/>
        </w:rPr>
        <w:t>report</w:t>
      </w:r>
      <w:bookmarkStart w:id="4" w:name="_BPDCD_76"/>
      <w:r w:rsidRPr="00F81279">
        <w:rPr>
          <w:rFonts w:ascii="Times New Roman" w:hAnsi="Times New Roman" w:cs="Times New Roman"/>
          <w:i/>
          <w:color w:val="000000"/>
          <w:sz w:val="24"/>
          <w:szCs w:val="24"/>
        </w:rPr>
        <w:t xml:space="preserve"> shall include </w:t>
      </w:r>
      <w:bookmarkEnd w:id="4"/>
      <w:r w:rsidRPr="00F81279">
        <w:rPr>
          <w:rFonts w:ascii="Times New Roman" w:hAnsi="Times New Roman" w:cs="Times New Roman"/>
          <w:i/>
          <w:color w:val="000000"/>
          <w:sz w:val="24"/>
          <w:szCs w:val="24"/>
        </w:rPr>
        <w:t>a summary and drawings</w:t>
      </w:r>
      <w:bookmarkStart w:id="5" w:name="_BPDCD_77"/>
      <w:r w:rsidRPr="00F81279">
        <w:rPr>
          <w:rFonts w:ascii="Times New Roman" w:hAnsi="Times New Roman" w:cs="Times New Roman"/>
          <w:i/>
          <w:color w:val="000000"/>
          <w:sz w:val="24"/>
          <w:szCs w:val="24"/>
        </w:rPr>
        <w:t xml:space="preserve"> and </w:t>
      </w:r>
      <w:bookmarkEnd w:id="5"/>
      <w:r w:rsidRPr="00F81279">
        <w:rPr>
          <w:rFonts w:ascii="Times New Roman" w:hAnsi="Times New Roman" w:cs="Times New Roman"/>
          <w:i/>
          <w:color w:val="000000"/>
          <w:sz w:val="24"/>
          <w:szCs w:val="24"/>
        </w:rPr>
        <w:t>describe how the physical  redevelopment was accomplished in accordance with the Redevelopment Plan. DEQ agrees to review the Redevelopment Plan and to provide comments or questions to the Project Developer within 45 days of receipt of the Redevelopment Plan.</w:t>
      </w:r>
    </w:p>
    <w:p w:rsidR="00F81279" w:rsidRDefault="00F81279" w:rsidP="00F81279">
      <w:pPr>
        <w:spacing w:after="0" w:line="240" w:lineRule="auto"/>
        <w:ind w:left="720"/>
        <w:rPr>
          <w:rFonts w:ascii="Times New Roman" w:hAnsi="Times New Roman" w:cs="Times New Roman"/>
          <w:i/>
          <w:color w:val="000000"/>
          <w:sz w:val="24"/>
          <w:szCs w:val="24"/>
        </w:rPr>
      </w:pPr>
    </w:p>
    <w:p w:rsidR="00CD5911" w:rsidRDefault="00F81279" w:rsidP="007D495F">
      <w:pPr>
        <w:spacing w:after="0" w:line="240" w:lineRule="auto"/>
        <w:ind w:left="720" w:firstLine="720"/>
        <w:rPr>
          <w:rFonts w:ascii="Times New Roman" w:hAnsi="Times New Roman" w:cs="Times New Roman"/>
          <w:i/>
          <w:sz w:val="24"/>
          <w:szCs w:val="24"/>
        </w:rPr>
      </w:pPr>
      <w:r>
        <w:rPr>
          <w:rFonts w:ascii="Times New Roman" w:hAnsi="Times New Roman" w:cs="Times New Roman"/>
          <w:i/>
          <w:sz w:val="24"/>
          <w:szCs w:val="24"/>
        </w:rPr>
        <w:t>17.</w:t>
      </w:r>
      <w:r w:rsidRPr="00F81279">
        <w:rPr>
          <w:rFonts w:ascii="Times New Roman" w:hAnsi="Times New Roman" w:cs="Times New Roman"/>
          <w:i/>
          <w:sz w:val="24"/>
          <w:szCs w:val="24"/>
        </w:rPr>
        <w:t>e.  The owner of the Property shall, at its own expense, correct any impacts to the landfill, as determined by DEQ, that increase the cost of compliance or ability to comply with rules and regulations for environmental protection, or adversely affect environmental permits regarding the landfill that are caused by development on the landfill.  Said corrections must be made with prior DEQ approval to the written satisfaction of DEQ’s Brownfields Program and Solid Waste Section.</w:t>
      </w:r>
    </w:p>
    <w:p w:rsidR="00F81279" w:rsidRPr="00CD5911" w:rsidRDefault="00F81279" w:rsidP="00CD5911">
      <w:pPr>
        <w:spacing w:after="0" w:line="240" w:lineRule="auto"/>
        <w:ind w:firstLine="1440"/>
        <w:rPr>
          <w:rFonts w:ascii="Times New Roman" w:hAnsi="Times New Roman" w:cs="Times New Roman"/>
          <w:sz w:val="24"/>
          <w:szCs w:val="24"/>
        </w:rPr>
      </w:pPr>
    </w:p>
    <w:p w:rsidR="00CD5911" w:rsidRPr="00CD5911" w:rsidRDefault="00684081" w:rsidP="00F81279">
      <w:pPr>
        <w:ind w:left="720"/>
        <w:rPr>
          <w:rFonts w:ascii="Times New Roman" w:hAnsi="Times New Roman" w:cs="Times New Roman"/>
          <w:sz w:val="24"/>
          <w:szCs w:val="24"/>
        </w:rPr>
      </w:pPr>
      <w:r>
        <w:rPr>
          <w:rFonts w:ascii="Times New Roman" w:hAnsi="Times New Roman" w:cs="Times New Roman"/>
          <w:sz w:val="24"/>
          <w:szCs w:val="24"/>
        </w:rPr>
        <w:t>Thus, under the Brownfields agreement, any</w:t>
      </w:r>
      <w:r w:rsidR="00CD5911" w:rsidRPr="00CD5911">
        <w:rPr>
          <w:rFonts w:ascii="Times New Roman" w:hAnsi="Times New Roman" w:cs="Times New Roman"/>
          <w:sz w:val="24"/>
          <w:szCs w:val="24"/>
        </w:rPr>
        <w:t xml:space="preserve"> impacts </w:t>
      </w:r>
      <w:r w:rsidR="007823EB">
        <w:rPr>
          <w:rFonts w:ascii="Times New Roman" w:hAnsi="Times New Roman" w:cs="Times New Roman"/>
          <w:sz w:val="24"/>
          <w:szCs w:val="24"/>
        </w:rPr>
        <w:t xml:space="preserve">caused by the </w:t>
      </w:r>
      <w:r w:rsidR="00F81279">
        <w:rPr>
          <w:rFonts w:ascii="Times New Roman" w:hAnsi="Times New Roman" w:cs="Times New Roman"/>
          <w:sz w:val="24"/>
          <w:szCs w:val="24"/>
        </w:rPr>
        <w:t xml:space="preserve">redevelopment </w:t>
      </w:r>
      <w:r w:rsidR="007823EB">
        <w:rPr>
          <w:rFonts w:ascii="Times New Roman" w:hAnsi="Times New Roman" w:cs="Times New Roman"/>
          <w:sz w:val="24"/>
          <w:szCs w:val="24"/>
        </w:rPr>
        <w:t xml:space="preserve">are the responsibility of </w:t>
      </w:r>
      <w:r w:rsidR="00B85B45">
        <w:rPr>
          <w:rFonts w:ascii="Times New Roman" w:hAnsi="Times New Roman" w:cs="Times New Roman"/>
          <w:sz w:val="24"/>
          <w:szCs w:val="24"/>
        </w:rPr>
        <w:t xml:space="preserve">the </w:t>
      </w:r>
      <w:r w:rsidR="00B85B45" w:rsidRPr="00CD5911">
        <w:rPr>
          <w:rFonts w:ascii="Times New Roman" w:hAnsi="Times New Roman" w:cs="Times New Roman"/>
          <w:sz w:val="24"/>
          <w:szCs w:val="24"/>
        </w:rPr>
        <w:t>land</w:t>
      </w:r>
      <w:r w:rsidR="00CD5911" w:rsidRPr="00CD5911">
        <w:rPr>
          <w:rFonts w:ascii="Times New Roman" w:hAnsi="Times New Roman" w:cs="Times New Roman"/>
          <w:sz w:val="24"/>
          <w:szCs w:val="24"/>
        </w:rPr>
        <w:t xml:space="preserve"> owner (En</w:t>
      </w:r>
      <w:r w:rsidR="00F81279">
        <w:rPr>
          <w:rFonts w:ascii="Times New Roman" w:hAnsi="Times New Roman" w:cs="Times New Roman"/>
          <w:sz w:val="24"/>
          <w:szCs w:val="24"/>
        </w:rPr>
        <w:t>ka Partners) rather than BASF.</w:t>
      </w:r>
      <w:r w:rsidR="00CD5911" w:rsidRPr="00CD5911">
        <w:rPr>
          <w:rFonts w:ascii="Times New Roman" w:hAnsi="Times New Roman" w:cs="Times New Roman"/>
          <w:sz w:val="24"/>
          <w:szCs w:val="24"/>
        </w:rPr>
        <w:t xml:space="preserve">  The agreement</w:t>
      </w:r>
      <w:r w:rsidR="007823EB">
        <w:rPr>
          <w:rFonts w:ascii="Times New Roman" w:hAnsi="Times New Roman" w:cs="Times New Roman"/>
          <w:sz w:val="24"/>
          <w:szCs w:val="24"/>
        </w:rPr>
        <w:t>, therefore,</w:t>
      </w:r>
      <w:r w:rsidR="00CD5911" w:rsidRPr="00CD5911">
        <w:rPr>
          <w:rFonts w:ascii="Times New Roman" w:hAnsi="Times New Roman" w:cs="Times New Roman"/>
          <w:sz w:val="24"/>
          <w:szCs w:val="24"/>
        </w:rPr>
        <w:t xml:space="preserve"> clearly establishes that the impacts of the </w:t>
      </w:r>
      <w:r w:rsidR="00F81279">
        <w:rPr>
          <w:rFonts w:ascii="Times New Roman" w:hAnsi="Times New Roman" w:cs="Times New Roman"/>
          <w:sz w:val="24"/>
          <w:szCs w:val="24"/>
        </w:rPr>
        <w:t xml:space="preserve">redevelopment </w:t>
      </w:r>
      <w:r w:rsidR="00CD5911" w:rsidRPr="00CD5911">
        <w:rPr>
          <w:rFonts w:ascii="Times New Roman" w:hAnsi="Times New Roman" w:cs="Times New Roman"/>
          <w:sz w:val="24"/>
          <w:szCs w:val="24"/>
        </w:rPr>
        <w:t>regarding environmental matters will be the responsibility of the land owner</w:t>
      </w:r>
      <w:r w:rsidR="007823EB">
        <w:rPr>
          <w:rFonts w:ascii="Times New Roman" w:hAnsi="Times New Roman" w:cs="Times New Roman"/>
          <w:sz w:val="24"/>
          <w:szCs w:val="24"/>
        </w:rPr>
        <w:t>, currently Enka Partners, not BASF</w:t>
      </w:r>
      <w:r w:rsidR="00CD5911" w:rsidRPr="00CD5911">
        <w:rPr>
          <w:rFonts w:ascii="Times New Roman" w:hAnsi="Times New Roman" w:cs="Times New Roman"/>
          <w:sz w:val="24"/>
          <w:szCs w:val="24"/>
        </w:rPr>
        <w:t>.</w:t>
      </w:r>
    </w:p>
    <w:p w:rsidR="00CD5911" w:rsidRDefault="00A640F8" w:rsidP="00A33619">
      <w:pPr>
        <w:spacing w:after="0"/>
        <w:rPr>
          <w:rFonts w:ascii="Times New Roman" w:hAnsi="Times New Roman" w:cs="Times New Roman"/>
          <w:b/>
          <w:sz w:val="24"/>
          <w:szCs w:val="24"/>
        </w:rPr>
      </w:pPr>
      <w:r>
        <w:rPr>
          <w:rFonts w:ascii="Times New Roman" w:hAnsi="Times New Roman" w:cs="Times New Roman"/>
          <w:b/>
          <w:sz w:val="24"/>
          <w:szCs w:val="24"/>
        </w:rPr>
        <w:t>Several comments</w:t>
      </w:r>
      <w:r w:rsidR="004879D1">
        <w:rPr>
          <w:rFonts w:ascii="Times New Roman" w:hAnsi="Times New Roman" w:cs="Times New Roman"/>
          <w:b/>
          <w:sz w:val="24"/>
          <w:szCs w:val="24"/>
        </w:rPr>
        <w:t xml:space="preserve"> were</w:t>
      </w:r>
      <w:r>
        <w:rPr>
          <w:rFonts w:ascii="Times New Roman" w:hAnsi="Times New Roman" w:cs="Times New Roman"/>
          <w:b/>
          <w:sz w:val="24"/>
          <w:szCs w:val="24"/>
        </w:rPr>
        <w:t xml:space="preserve"> raised regarding </w:t>
      </w:r>
      <w:r w:rsidR="004879D1">
        <w:rPr>
          <w:rFonts w:ascii="Times New Roman" w:hAnsi="Times New Roman" w:cs="Times New Roman"/>
          <w:b/>
          <w:sz w:val="24"/>
          <w:szCs w:val="24"/>
        </w:rPr>
        <w:t xml:space="preserve">perceived </w:t>
      </w:r>
      <w:r>
        <w:rPr>
          <w:rFonts w:ascii="Times New Roman" w:hAnsi="Times New Roman" w:cs="Times New Roman"/>
          <w:b/>
          <w:sz w:val="24"/>
          <w:szCs w:val="24"/>
        </w:rPr>
        <w:t xml:space="preserve">deficiencies in surface water sampling and analysis of the unnamed tributaries and Hominy Creek for metals which may or may not indicate contamination due to coal ash.  </w:t>
      </w:r>
    </w:p>
    <w:p w:rsidR="00A640F8" w:rsidRDefault="00A640F8" w:rsidP="00A33619">
      <w:pPr>
        <w:spacing w:after="0"/>
        <w:rPr>
          <w:rFonts w:ascii="Times New Roman" w:hAnsi="Times New Roman" w:cs="Times New Roman"/>
          <w:b/>
          <w:sz w:val="24"/>
          <w:szCs w:val="24"/>
        </w:rPr>
      </w:pPr>
    </w:p>
    <w:p w:rsidR="00A640F8" w:rsidRDefault="00A640F8" w:rsidP="004879D1">
      <w:pPr>
        <w:spacing w:after="0"/>
        <w:ind w:left="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Sampling and analysis at the property have been conducted in accordance with the post closure requirements for the former industrial landfill.  </w:t>
      </w:r>
      <w:r w:rsidR="00200D2A">
        <w:rPr>
          <w:rFonts w:ascii="Times New Roman" w:hAnsi="Times New Roman" w:cs="Times New Roman"/>
          <w:sz w:val="24"/>
          <w:szCs w:val="24"/>
        </w:rPr>
        <w:t>However, t</w:t>
      </w:r>
      <w:r>
        <w:rPr>
          <w:rFonts w:ascii="Times New Roman" w:hAnsi="Times New Roman" w:cs="Times New Roman"/>
          <w:sz w:val="24"/>
          <w:szCs w:val="24"/>
        </w:rPr>
        <w:t>he Brownfields Program</w:t>
      </w:r>
      <w:r w:rsidR="002A5135">
        <w:rPr>
          <w:rFonts w:ascii="Times New Roman" w:hAnsi="Times New Roman" w:cs="Times New Roman"/>
          <w:sz w:val="24"/>
          <w:szCs w:val="24"/>
        </w:rPr>
        <w:t>, is requiring</w:t>
      </w:r>
      <w:r>
        <w:rPr>
          <w:rFonts w:ascii="Times New Roman" w:hAnsi="Times New Roman" w:cs="Times New Roman"/>
          <w:sz w:val="24"/>
          <w:szCs w:val="24"/>
        </w:rPr>
        <w:t xml:space="preserve"> the sampling and analysis </w:t>
      </w:r>
      <w:r w:rsidR="002A5135">
        <w:rPr>
          <w:rFonts w:ascii="Times New Roman" w:hAnsi="Times New Roman" w:cs="Times New Roman"/>
          <w:sz w:val="24"/>
          <w:szCs w:val="24"/>
        </w:rPr>
        <w:t>of</w:t>
      </w:r>
      <w:r>
        <w:rPr>
          <w:rFonts w:ascii="Times New Roman" w:hAnsi="Times New Roman" w:cs="Times New Roman"/>
          <w:sz w:val="24"/>
          <w:szCs w:val="24"/>
        </w:rPr>
        <w:t xml:space="preserve"> the unnamed tributaries along with Hominy Creek for an expanded list of metals and volatile organic compounds.  The following land use restriction 17.d., has been included in the Brownfields agreement:</w:t>
      </w:r>
    </w:p>
    <w:p w:rsidR="004879D1" w:rsidRDefault="004879D1" w:rsidP="004879D1">
      <w:pPr>
        <w:spacing w:after="0"/>
        <w:ind w:left="720"/>
        <w:rPr>
          <w:rFonts w:ascii="Times New Roman" w:hAnsi="Times New Roman" w:cs="Times New Roman"/>
          <w:sz w:val="24"/>
          <w:szCs w:val="24"/>
        </w:rPr>
      </w:pPr>
    </w:p>
    <w:p w:rsidR="00A640F8" w:rsidRPr="00A640F8" w:rsidRDefault="00A640F8" w:rsidP="004879D1">
      <w:pPr>
        <w:spacing w:line="240" w:lineRule="auto"/>
        <w:ind w:left="720" w:firstLine="1440"/>
        <w:rPr>
          <w:rFonts w:ascii="Times New Roman" w:hAnsi="Times New Roman" w:cs="Times New Roman"/>
          <w:i/>
          <w:sz w:val="24"/>
          <w:szCs w:val="24"/>
        </w:rPr>
      </w:pPr>
      <w:r w:rsidRPr="00A640F8">
        <w:rPr>
          <w:rFonts w:ascii="Times New Roman" w:hAnsi="Times New Roman" w:cs="Times New Roman"/>
          <w:i/>
          <w:sz w:val="24"/>
          <w:szCs w:val="24"/>
        </w:rPr>
        <w:t xml:space="preserve">d.  Within 30 days following recordation of the Notice referenced below in paragraph 22, the then owner of the Property shall submit to DEQ a written plan for monitoring  surface water at the Property through sampling and analysis.  The owner shall be responsible for making any modifications to the plan necessary for DEQ approval.  Upon DEQ </w:t>
      </w:r>
      <w:r w:rsidRPr="00A640F8">
        <w:rPr>
          <w:rFonts w:ascii="Times New Roman" w:hAnsi="Times New Roman" w:cs="Times New Roman"/>
          <w:i/>
          <w:sz w:val="24"/>
          <w:szCs w:val="24"/>
        </w:rPr>
        <w:lastRenderedPageBreak/>
        <w:t xml:space="preserve">approval of the plan, in writing, the plan shall be implemented by the owner of the Property on the schedule in the approved plan. </w:t>
      </w:r>
    </w:p>
    <w:p w:rsidR="00A640F8" w:rsidRPr="00A640F8" w:rsidRDefault="00A640F8" w:rsidP="004879D1">
      <w:pPr>
        <w:tabs>
          <w:tab w:val="left" w:pos="2520"/>
        </w:tabs>
        <w:spacing w:line="240" w:lineRule="auto"/>
        <w:ind w:left="720" w:firstLine="2160"/>
        <w:rPr>
          <w:rFonts w:ascii="Times New Roman" w:hAnsi="Times New Roman" w:cs="Times New Roman"/>
          <w:i/>
          <w:sz w:val="24"/>
          <w:szCs w:val="24"/>
        </w:rPr>
      </w:pPr>
      <w:r w:rsidRPr="00A640F8">
        <w:rPr>
          <w:rFonts w:ascii="Times New Roman" w:hAnsi="Times New Roman" w:cs="Times New Roman"/>
          <w:i/>
          <w:sz w:val="24"/>
          <w:szCs w:val="24"/>
        </w:rPr>
        <w:t>i.</w:t>
      </w:r>
      <w:r w:rsidRPr="00A640F8">
        <w:rPr>
          <w:rFonts w:ascii="Times New Roman" w:hAnsi="Times New Roman" w:cs="Times New Roman"/>
          <w:i/>
          <w:sz w:val="24"/>
          <w:szCs w:val="24"/>
        </w:rPr>
        <w:tab/>
        <w:t>The plan shall include, at a minimum:</w:t>
      </w:r>
    </w:p>
    <w:p w:rsidR="00A640F8" w:rsidRPr="00A640F8" w:rsidRDefault="00A640F8" w:rsidP="004879D1">
      <w:pPr>
        <w:tabs>
          <w:tab w:val="left" w:pos="2160"/>
          <w:tab w:val="left" w:pos="2880"/>
        </w:tabs>
        <w:spacing w:line="240" w:lineRule="auto"/>
        <w:ind w:left="720" w:firstLine="2880"/>
        <w:rPr>
          <w:rFonts w:ascii="Times New Roman" w:hAnsi="Times New Roman" w:cs="Times New Roman"/>
          <w:i/>
          <w:sz w:val="24"/>
          <w:szCs w:val="24"/>
        </w:rPr>
      </w:pPr>
      <w:r w:rsidRPr="00A640F8">
        <w:rPr>
          <w:rFonts w:ascii="Times New Roman" w:hAnsi="Times New Roman" w:cs="Times New Roman"/>
          <w:i/>
          <w:sz w:val="24"/>
          <w:szCs w:val="24"/>
        </w:rPr>
        <w:t>A.  designation of at least four (4) surface water locations to be sampled pursuant to the plan;</w:t>
      </w:r>
    </w:p>
    <w:p w:rsidR="00A640F8" w:rsidRPr="00A640F8" w:rsidRDefault="00A640F8" w:rsidP="004879D1">
      <w:pPr>
        <w:tabs>
          <w:tab w:val="left" w:pos="2880"/>
        </w:tabs>
        <w:spacing w:line="240" w:lineRule="auto"/>
        <w:ind w:left="720" w:firstLine="2880"/>
        <w:rPr>
          <w:rFonts w:ascii="Times New Roman" w:hAnsi="Times New Roman" w:cs="Times New Roman"/>
          <w:i/>
          <w:sz w:val="24"/>
          <w:szCs w:val="24"/>
        </w:rPr>
      </w:pPr>
      <w:r w:rsidRPr="00A640F8">
        <w:rPr>
          <w:rFonts w:ascii="Times New Roman" w:hAnsi="Times New Roman" w:cs="Times New Roman"/>
          <w:i/>
          <w:sz w:val="24"/>
          <w:szCs w:val="24"/>
        </w:rPr>
        <w:t>B.  a schedule for sampling of the designated surface water locations for volatile organic compounds and metals at least once each year during the same thirty-day period, and a plan for increasing the sampling frequency should results show above DEQ established acceptable risk levels;</w:t>
      </w:r>
    </w:p>
    <w:p w:rsidR="00A640F8" w:rsidRPr="00A640F8" w:rsidRDefault="00A640F8" w:rsidP="004879D1">
      <w:pPr>
        <w:tabs>
          <w:tab w:val="left" w:pos="2880"/>
        </w:tabs>
        <w:spacing w:line="240" w:lineRule="auto"/>
        <w:ind w:left="720" w:firstLine="2880"/>
        <w:rPr>
          <w:rFonts w:ascii="Times New Roman" w:hAnsi="Times New Roman" w:cs="Times New Roman"/>
          <w:i/>
          <w:sz w:val="24"/>
          <w:szCs w:val="24"/>
        </w:rPr>
      </w:pPr>
      <w:r w:rsidRPr="00A640F8">
        <w:rPr>
          <w:rFonts w:ascii="Times New Roman" w:hAnsi="Times New Roman" w:cs="Times New Roman"/>
          <w:i/>
          <w:sz w:val="24"/>
          <w:szCs w:val="24"/>
        </w:rPr>
        <w:t>C.  analysis of the samples by the most current version of U.S. Environmental Protection Agency Method 8260, 200.7, 200.8, 245.1, and 300.0;</w:t>
      </w:r>
    </w:p>
    <w:p w:rsidR="00A640F8" w:rsidRPr="00A640F8" w:rsidRDefault="00A640F8" w:rsidP="004879D1">
      <w:pPr>
        <w:spacing w:line="240" w:lineRule="auto"/>
        <w:ind w:left="720" w:firstLine="2880"/>
        <w:rPr>
          <w:rFonts w:ascii="Times New Roman" w:hAnsi="Times New Roman" w:cs="Times New Roman"/>
          <w:i/>
          <w:sz w:val="24"/>
          <w:szCs w:val="24"/>
        </w:rPr>
      </w:pPr>
      <w:r w:rsidRPr="00A640F8">
        <w:rPr>
          <w:rFonts w:ascii="Times New Roman" w:hAnsi="Times New Roman" w:cs="Times New Roman"/>
          <w:i/>
          <w:sz w:val="24"/>
          <w:szCs w:val="24"/>
        </w:rPr>
        <w:t xml:space="preserve">D.  provision of the sampling analyses to DEQ in writing within 30 days after sampling; </w:t>
      </w:r>
    </w:p>
    <w:p w:rsidR="00A640F8" w:rsidRPr="00A640F8" w:rsidRDefault="00A640F8" w:rsidP="004879D1">
      <w:pPr>
        <w:spacing w:line="240" w:lineRule="auto"/>
        <w:ind w:left="720" w:firstLine="2880"/>
        <w:rPr>
          <w:rFonts w:ascii="Times New Roman" w:hAnsi="Times New Roman" w:cs="Times New Roman"/>
          <w:i/>
          <w:sz w:val="24"/>
          <w:szCs w:val="24"/>
        </w:rPr>
      </w:pPr>
      <w:r w:rsidRPr="00A640F8">
        <w:rPr>
          <w:rFonts w:ascii="Times New Roman" w:hAnsi="Times New Roman" w:cs="Times New Roman"/>
          <w:i/>
          <w:sz w:val="24"/>
          <w:szCs w:val="24"/>
        </w:rPr>
        <w:t>E.  provision for a calculation of resultant risk in accordance with DEQ guidelines and procedures.</w:t>
      </w:r>
    </w:p>
    <w:p w:rsidR="00A640F8" w:rsidRPr="00A640F8" w:rsidRDefault="00A640F8" w:rsidP="004879D1">
      <w:pPr>
        <w:spacing w:line="240" w:lineRule="auto"/>
        <w:ind w:left="720" w:firstLine="2160"/>
        <w:rPr>
          <w:rFonts w:ascii="Times New Roman" w:hAnsi="Times New Roman" w:cs="Times New Roman"/>
          <w:i/>
          <w:sz w:val="24"/>
          <w:szCs w:val="24"/>
        </w:rPr>
      </w:pPr>
      <w:r w:rsidRPr="00A640F8">
        <w:rPr>
          <w:rFonts w:ascii="Times New Roman" w:hAnsi="Times New Roman" w:cs="Times New Roman"/>
          <w:i/>
          <w:sz w:val="24"/>
          <w:szCs w:val="24"/>
        </w:rPr>
        <w:t>ii.  When the plan requires sampling, analysis, and reporting, the then owner of the affected portion(s) of the Property shall be responsible for compliance.  The plan may be amended with DEQ’s prior written approval.  The required monitoring shall continue until sampling pursuant to the plan shows the concentrations of any and all metals and volatile organic compounds present in excess of the standards set forth in the most current version of Title 15A of the North Carolina Administrative Code, Subchapter 02B, (January 1, 2015 version), are stable, declining or undetected for a minimum of three (3) consecutive years; and</w:t>
      </w:r>
    </w:p>
    <w:p w:rsidR="00A640F8" w:rsidRDefault="00A640F8" w:rsidP="004879D1">
      <w:pPr>
        <w:spacing w:after="0" w:line="240" w:lineRule="auto"/>
        <w:ind w:left="720" w:firstLine="2160"/>
        <w:rPr>
          <w:rFonts w:ascii="Times New Roman" w:hAnsi="Times New Roman" w:cs="Times New Roman"/>
          <w:i/>
          <w:sz w:val="24"/>
          <w:szCs w:val="24"/>
        </w:rPr>
      </w:pPr>
      <w:r w:rsidRPr="00A640F8">
        <w:rPr>
          <w:rFonts w:ascii="Times New Roman" w:hAnsi="Times New Roman" w:cs="Times New Roman"/>
          <w:i/>
          <w:sz w:val="24"/>
          <w:szCs w:val="24"/>
        </w:rPr>
        <w:t>iii.  Should the analytical results of the surface water sampling indicate unacceptable risk levels when calculated in accordance with DEQ guidelines and procedure, the then owner of the property shall submit a plan to DEQ for written approval to mitigate said risk to acceptable levels, including institutional controls for public notice and access restriction. Once approved by DEQ, said measures shall be implemented by the then owner on a schedule acceptable to DEQ.</w:t>
      </w:r>
    </w:p>
    <w:p w:rsidR="006D3DF8" w:rsidRDefault="006D3DF8" w:rsidP="006D3DF8">
      <w:pPr>
        <w:spacing w:after="0" w:line="240" w:lineRule="auto"/>
        <w:rPr>
          <w:rFonts w:ascii="Times New Roman" w:hAnsi="Times New Roman" w:cs="Times New Roman"/>
          <w:b/>
          <w:sz w:val="24"/>
          <w:szCs w:val="24"/>
        </w:rPr>
      </w:pPr>
    </w:p>
    <w:p w:rsidR="006D3DF8" w:rsidRDefault="006D3DF8" w:rsidP="006D3DF8">
      <w:pPr>
        <w:spacing w:after="0" w:line="240" w:lineRule="auto"/>
        <w:rPr>
          <w:rFonts w:ascii="Times New Roman" w:hAnsi="Times New Roman" w:cs="Times New Roman"/>
          <w:b/>
          <w:sz w:val="24"/>
          <w:szCs w:val="24"/>
        </w:rPr>
      </w:pPr>
      <w:r>
        <w:rPr>
          <w:rFonts w:ascii="Times New Roman" w:hAnsi="Times New Roman" w:cs="Times New Roman"/>
          <w:b/>
          <w:sz w:val="24"/>
          <w:szCs w:val="24"/>
        </w:rPr>
        <w:t>A comment was raised that Exhibit 2 the contaminant tables for the property did not fully disclose the extent of contamination at the property.</w:t>
      </w:r>
    </w:p>
    <w:p w:rsidR="006D3DF8" w:rsidRDefault="006D3DF8" w:rsidP="006D3DF8">
      <w:pPr>
        <w:spacing w:after="0" w:line="240" w:lineRule="auto"/>
        <w:rPr>
          <w:rFonts w:ascii="Times New Roman" w:hAnsi="Times New Roman" w:cs="Times New Roman"/>
          <w:b/>
          <w:sz w:val="24"/>
          <w:szCs w:val="24"/>
        </w:rPr>
      </w:pPr>
    </w:p>
    <w:p w:rsidR="006D3DF8" w:rsidRDefault="006D3DF8" w:rsidP="004879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The Brownfields agreement Exhibit 2 is a compilation of the most recent data from the site.  Since the agreement went to public notice in September 2015, </w:t>
      </w:r>
      <w:r w:rsidR="009B797E">
        <w:rPr>
          <w:rFonts w:ascii="Times New Roman" w:hAnsi="Times New Roman" w:cs="Times New Roman"/>
          <w:sz w:val="24"/>
          <w:szCs w:val="24"/>
        </w:rPr>
        <w:t xml:space="preserve">there is more recent surface water data from Hominy Creek </w:t>
      </w:r>
      <w:r w:rsidR="009B797E">
        <w:rPr>
          <w:rFonts w:ascii="Times New Roman" w:hAnsi="Times New Roman" w:cs="Times New Roman"/>
          <w:sz w:val="24"/>
          <w:szCs w:val="24"/>
        </w:rPr>
        <w:lastRenderedPageBreak/>
        <w:t>that have no detections of constituents monitored in accordance with t</w:t>
      </w:r>
      <w:r w:rsidR="004879D1">
        <w:rPr>
          <w:rFonts w:ascii="Times New Roman" w:hAnsi="Times New Roman" w:cs="Times New Roman"/>
          <w:sz w:val="24"/>
          <w:szCs w:val="24"/>
        </w:rPr>
        <w:t>he post closure requirements above the</w:t>
      </w:r>
      <w:r w:rsidR="009B797E">
        <w:rPr>
          <w:rFonts w:ascii="Times New Roman" w:hAnsi="Times New Roman" w:cs="Times New Roman"/>
          <w:sz w:val="24"/>
          <w:szCs w:val="24"/>
        </w:rPr>
        <w:t xml:space="preserve"> 2B standard.  </w:t>
      </w:r>
    </w:p>
    <w:p w:rsidR="009B797E" w:rsidRDefault="009B797E" w:rsidP="006D3DF8">
      <w:pPr>
        <w:spacing w:after="0" w:line="240" w:lineRule="auto"/>
        <w:rPr>
          <w:rFonts w:ascii="Times New Roman" w:hAnsi="Times New Roman" w:cs="Times New Roman"/>
          <w:sz w:val="24"/>
          <w:szCs w:val="24"/>
        </w:rPr>
      </w:pPr>
    </w:p>
    <w:p w:rsidR="004332CF" w:rsidRDefault="004332CF" w:rsidP="004332CF">
      <w:pPr>
        <w:rPr>
          <w:rFonts w:ascii="Times New Roman" w:hAnsi="Times New Roman"/>
          <w:b/>
          <w:bCs/>
          <w:sz w:val="24"/>
          <w:szCs w:val="24"/>
        </w:rPr>
      </w:pPr>
      <w:r>
        <w:rPr>
          <w:rFonts w:ascii="Times New Roman" w:hAnsi="Times New Roman"/>
          <w:b/>
          <w:bCs/>
          <w:sz w:val="24"/>
          <w:szCs w:val="24"/>
        </w:rPr>
        <w:t xml:space="preserve">A comment was raised regarding </w:t>
      </w:r>
      <w:r w:rsidRPr="004332CF">
        <w:rPr>
          <w:rFonts w:ascii="Times New Roman" w:hAnsi="Times New Roman"/>
          <w:b/>
          <w:bCs/>
          <w:sz w:val="24"/>
          <w:szCs w:val="24"/>
        </w:rPr>
        <w:t xml:space="preserve">the hazards </w:t>
      </w:r>
      <w:r w:rsidR="0028288E">
        <w:rPr>
          <w:rFonts w:ascii="Times New Roman" w:hAnsi="Times New Roman"/>
          <w:b/>
          <w:bCs/>
          <w:sz w:val="24"/>
          <w:szCs w:val="24"/>
        </w:rPr>
        <w:t xml:space="preserve">of natural radioactive elements </w:t>
      </w:r>
      <w:r>
        <w:rPr>
          <w:rFonts w:ascii="Times New Roman" w:hAnsi="Times New Roman"/>
          <w:b/>
          <w:bCs/>
          <w:sz w:val="24"/>
          <w:szCs w:val="24"/>
        </w:rPr>
        <w:t>present in coal ash.</w:t>
      </w:r>
    </w:p>
    <w:p w:rsidR="004332CF" w:rsidRDefault="0028288E" w:rsidP="00A8703E">
      <w:pPr>
        <w:spacing w:after="0" w:line="240" w:lineRule="auto"/>
        <w:ind w:firstLine="720"/>
        <w:rPr>
          <w:rFonts w:ascii="Times New Roman" w:hAnsi="Times New Roman" w:cs="Times New Roman"/>
          <w:b/>
          <w:sz w:val="24"/>
          <w:szCs w:val="24"/>
        </w:rPr>
      </w:pPr>
      <w:r>
        <w:rPr>
          <w:rFonts w:ascii="Times New Roman" w:hAnsi="Times New Roman"/>
          <w:sz w:val="24"/>
          <w:szCs w:val="24"/>
        </w:rPr>
        <w:t>Natural radioactive elements</w:t>
      </w:r>
      <w:r w:rsidR="00A8703E">
        <w:rPr>
          <w:rFonts w:ascii="Times New Roman" w:hAnsi="Times New Roman"/>
          <w:sz w:val="24"/>
          <w:szCs w:val="24"/>
        </w:rPr>
        <w:t xml:space="preserve"> can be found in the environment</w:t>
      </w:r>
      <w:r w:rsidR="004332CF">
        <w:rPr>
          <w:rFonts w:ascii="Times New Roman" w:hAnsi="Times New Roman"/>
          <w:sz w:val="24"/>
          <w:szCs w:val="24"/>
        </w:rPr>
        <w:t xml:space="preserve">.  </w:t>
      </w:r>
      <w:r w:rsidR="00A8703E">
        <w:rPr>
          <w:rFonts w:ascii="Times New Roman" w:hAnsi="Times New Roman"/>
          <w:sz w:val="24"/>
          <w:szCs w:val="24"/>
        </w:rPr>
        <w:t>As such, they can</w:t>
      </w:r>
      <w:r w:rsidR="004332CF" w:rsidRPr="004332CF">
        <w:rPr>
          <w:rFonts w:ascii="Times New Roman" w:hAnsi="Times New Roman"/>
          <w:sz w:val="24"/>
          <w:szCs w:val="24"/>
        </w:rPr>
        <w:t xml:space="preserve"> also </w:t>
      </w:r>
      <w:r w:rsidR="00A8703E">
        <w:rPr>
          <w:rFonts w:ascii="Times New Roman" w:hAnsi="Times New Roman"/>
          <w:sz w:val="24"/>
          <w:szCs w:val="24"/>
        </w:rPr>
        <w:t xml:space="preserve">be </w:t>
      </w:r>
      <w:bookmarkStart w:id="6" w:name="_GoBack"/>
      <w:bookmarkEnd w:id="6"/>
      <w:r w:rsidR="004332CF" w:rsidRPr="004332CF">
        <w:rPr>
          <w:rFonts w:ascii="Times New Roman" w:hAnsi="Times New Roman"/>
          <w:sz w:val="24"/>
          <w:szCs w:val="24"/>
        </w:rPr>
        <w:t xml:space="preserve">present in coal and the ash that results from that coal’s combustion.  The level of radiation in coal </w:t>
      </w:r>
      <w:r w:rsidR="00A8703E">
        <w:rPr>
          <w:rFonts w:ascii="Times New Roman" w:hAnsi="Times New Roman"/>
          <w:sz w:val="24"/>
          <w:szCs w:val="24"/>
        </w:rPr>
        <w:t>ash is typically on par with</w:t>
      </w:r>
      <w:r w:rsidR="004332CF" w:rsidRPr="004332CF">
        <w:rPr>
          <w:rFonts w:ascii="Times New Roman" w:hAnsi="Times New Roman"/>
          <w:sz w:val="24"/>
          <w:szCs w:val="24"/>
        </w:rPr>
        <w:t xml:space="preserve"> naturally </w:t>
      </w:r>
      <w:r w:rsidR="00A8703E">
        <w:rPr>
          <w:rFonts w:ascii="Times New Roman" w:hAnsi="Times New Roman"/>
          <w:sz w:val="24"/>
          <w:szCs w:val="24"/>
        </w:rPr>
        <w:t>occurring levels.</w:t>
      </w:r>
      <w:r w:rsidR="004332CF">
        <w:rPr>
          <w:rFonts w:ascii="Times New Roman" w:hAnsi="Times New Roman"/>
          <w:sz w:val="24"/>
          <w:szCs w:val="24"/>
        </w:rPr>
        <w:t>  Exposure to fly ash</w:t>
      </w:r>
      <w:r w:rsidR="00A8703E">
        <w:rPr>
          <w:rFonts w:ascii="Times New Roman" w:hAnsi="Times New Roman"/>
          <w:sz w:val="24"/>
          <w:szCs w:val="24"/>
        </w:rPr>
        <w:t xml:space="preserve"> is</w:t>
      </w:r>
      <w:r w:rsidR="004332CF" w:rsidRPr="004332CF">
        <w:rPr>
          <w:rFonts w:ascii="Times New Roman" w:hAnsi="Times New Roman"/>
          <w:sz w:val="24"/>
          <w:szCs w:val="24"/>
        </w:rPr>
        <w:t xml:space="preserve"> virtually </w:t>
      </w:r>
      <w:r w:rsidR="004332CF">
        <w:rPr>
          <w:rFonts w:ascii="Times New Roman" w:hAnsi="Times New Roman"/>
          <w:sz w:val="24"/>
          <w:szCs w:val="24"/>
        </w:rPr>
        <w:t xml:space="preserve">eliminated at a landfill because the material is </w:t>
      </w:r>
      <w:r w:rsidR="004332CF" w:rsidRPr="004332CF">
        <w:rPr>
          <w:rFonts w:ascii="Times New Roman" w:hAnsi="Times New Roman"/>
          <w:sz w:val="24"/>
          <w:szCs w:val="24"/>
        </w:rPr>
        <w:t>buried</w:t>
      </w:r>
      <w:r w:rsidR="004332CF">
        <w:rPr>
          <w:rFonts w:ascii="Times New Roman" w:hAnsi="Times New Roman"/>
          <w:sz w:val="24"/>
          <w:szCs w:val="24"/>
        </w:rPr>
        <w:t xml:space="preserve">.  </w:t>
      </w:r>
      <w:r w:rsidR="004332CF" w:rsidRPr="004332CF">
        <w:rPr>
          <w:rFonts w:ascii="Times New Roman" w:hAnsi="Times New Roman"/>
          <w:sz w:val="24"/>
          <w:szCs w:val="24"/>
        </w:rPr>
        <w:t>Furthermore,</w:t>
      </w:r>
      <w:r w:rsidR="004332CF">
        <w:rPr>
          <w:rFonts w:ascii="Times New Roman" w:hAnsi="Times New Roman"/>
          <w:sz w:val="24"/>
          <w:szCs w:val="24"/>
        </w:rPr>
        <w:t xml:space="preserve"> the Brownfields Agreement and the post closure requirements for this former Industrial Landfill requires maintaining a minimum of 2 feet of clean fill on all waste portions.</w:t>
      </w:r>
    </w:p>
    <w:p w:rsidR="004332CF" w:rsidRDefault="004332CF" w:rsidP="006D3DF8">
      <w:pPr>
        <w:spacing w:after="0" w:line="240" w:lineRule="auto"/>
        <w:rPr>
          <w:rFonts w:ascii="Times New Roman" w:hAnsi="Times New Roman" w:cs="Times New Roman"/>
          <w:b/>
          <w:sz w:val="24"/>
          <w:szCs w:val="24"/>
        </w:rPr>
      </w:pPr>
    </w:p>
    <w:p w:rsidR="009B797E" w:rsidRDefault="009B797E" w:rsidP="006D3DF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 comment was raised regarding the posting of </w:t>
      </w:r>
      <w:r w:rsidR="004879D1">
        <w:rPr>
          <w:rFonts w:ascii="Times New Roman" w:hAnsi="Times New Roman" w:cs="Times New Roman"/>
          <w:b/>
          <w:sz w:val="24"/>
          <w:szCs w:val="24"/>
        </w:rPr>
        <w:t xml:space="preserve">the </w:t>
      </w:r>
      <w:r>
        <w:rPr>
          <w:rFonts w:ascii="Times New Roman" w:hAnsi="Times New Roman" w:cs="Times New Roman"/>
          <w:b/>
          <w:sz w:val="24"/>
          <w:szCs w:val="24"/>
        </w:rPr>
        <w:t>Summary Notice at the site and availability of the Notice at the library.</w:t>
      </w:r>
    </w:p>
    <w:p w:rsidR="009B797E" w:rsidRDefault="009B797E" w:rsidP="006D3DF8">
      <w:pPr>
        <w:spacing w:after="0" w:line="240" w:lineRule="auto"/>
        <w:rPr>
          <w:rFonts w:ascii="Times New Roman" w:hAnsi="Times New Roman" w:cs="Times New Roman"/>
          <w:b/>
          <w:sz w:val="24"/>
          <w:szCs w:val="24"/>
        </w:rPr>
      </w:pPr>
    </w:p>
    <w:p w:rsidR="009B797E" w:rsidRDefault="009B797E" w:rsidP="006D3DF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Prospective Developer provided the Brownfields Program with documentation showing the posting at the site in accordance with the Brownfields Property Reuse Act.  The library indicated the </w:t>
      </w:r>
      <w:r w:rsidR="004879D1">
        <w:rPr>
          <w:rFonts w:ascii="Times New Roman" w:hAnsi="Times New Roman" w:cs="Times New Roman"/>
          <w:sz w:val="24"/>
          <w:szCs w:val="24"/>
        </w:rPr>
        <w:t>documents for public notice were</w:t>
      </w:r>
      <w:r>
        <w:rPr>
          <w:rFonts w:ascii="Times New Roman" w:hAnsi="Times New Roman" w:cs="Times New Roman"/>
          <w:sz w:val="24"/>
          <w:szCs w:val="24"/>
        </w:rPr>
        <w:t xml:space="preserve"> taken </w:t>
      </w:r>
      <w:r w:rsidR="00200D2A">
        <w:rPr>
          <w:rFonts w:ascii="Times New Roman" w:hAnsi="Times New Roman" w:cs="Times New Roman"/>
          <w:sz w:val="24"/>
          <w:szCs w:val="24"/>
        </w:rPr>
        <w:t xml:space="preserve">from the library </w:t>
      </w:r>
      <w:r>
        <w:rPr>
          <w:rFonts w:ascii="Times New Roman" w:hAnsi="Times New Roman" w:cs="Times New Roman"/>
          <w:sz w:val="24"/>
          <w:szCs w:val="24"/>
        </w:rPr>
        <w:t>on Monday October 26, 2016, but did not know who took the documents.  The 30</w:t>
      </w:r>
      <w:r w:rsidR="00200D2A">
        <w:rPr>
          <w:rFonts w:ascii="Times New Roman" w:hAnsi="Times New Roman" w:cs="Times New Roman"/>
          <w:sz w:val="24"/>
          <w:szCs w:val="24"/>
        </w:rPr>
        <w:t>-</w:t>
      </w:r>
      <w:r>
        <w:rPr>
          <w:rFonts w:ascii="Times New Roman" w:hAnsi="Times New Roman" w:cs="Times New Roman"/>
          <w:sz w:val="24"/>
          <w:szCs w:val="24"/>
        </w:rPr>
        <w:t xml:space="preserve">day public notice period began on September 25, 2015 and officially ended on Saturday October 24, 2015.  DEQ allowed for comments to be received through Monday October 26, 2015 to account for the weekend.  </w:t>
      </w:r>
      <w:r w:rsidR="00200D2A">
        <w:rPr>
          <w:rFonts w:ascii="Times New Roman" w:hAnsi="Times New Roman" w:cs="Times New Roman"/>
          <w:sz w:val="24"/>
          <w:szCs w:val="24"/>
        </w:rPr>
        <w:t>Hence, despite the removal of the documents on October 26, 2016, the availability of the documents at the library met the statutory requirements.</w:t>
      </w:r>
    </w:p>
    <w:p w:rsidR="009B797E" w:rsidRDefault="009B797E" w:rsidP="006D3DF8">
      <w:pPr>
        <w:spacing w:after="0" w:line="240" w:lineRule="auto"/>
        <w:rPr>
          <w:rFonts w:ascii="Times New Roman" w:hAnsi="Times New Roman" w:cs="Times New Roman"/>
          <w:sz w:val="24"/>
          <w:szCs w:val="24"/>
        </w:rPr>
      </w:pPr>
    </w:p>
    <w:p w:rsidR="009B797E" w:rsidRDefault="009B797E" w:rsidP="006D3DF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Several comments were received regarding the contaminants and conditions of </w:t>
      </w:r>
      <w:r w:rsidR="008D2A8E">
        <w:rPr>
          <w:rFonts w:ascii="Times New Roman" w:hAnsi="Times New Roman" w:cs="Times New Roman"/>
          <w:b/>
          <w:sz w:val="24"/>
          <w:szCs w:val="24"/>
        </w:rPr>
        <w:t>the former landfill and if the landfill</w:t>
      </w:r>
      <w:r>
        <w:rPr>
          <w:rFonts w:ascii="Times New Roman" w:hAnsi="Times New Roman" w:cs="Times New Roman"/>
          <w:b/>
          <w:sz w:val="24"/>
          <w:szCs w:val="24"/>
        </w:rPr>
        <w:t xml:space="preserve"> would be cleaned up.</w:t>
      </w:r>
    </w:p>
    <w:p w:rsidR="009B797E" w:rsidRDefault="009B797E" w:rsidP="006D3DF8">
      <w:pPr>
        <w:spacing w:after="0" w:line="240" w:lineRule="auto"/>
        <w:rPr>
          <w:rFonts w:ascii="Times New Roman" w:hAnsi="Times New Roman" w:cs="Times New Roman"/>
          <w:b/>
          <w:sz w:val="24"/>
          <w:szCs w:val="24"/>
        </w:rPr>
      </w:pPr>
    </w:p>
    <w:p w:rsidR="008D2A8E" w:rsidRDefault="009B797E" w:rsidP="006D3DF8">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Brownfields Program evaluates contaminants at the property including risk receptors associated with contamination.  The Brownfields agreement for the property includes measures to address </w:t>
      </w:r>
      <w:r w:rsidR="008D2A8E">
        <w:rPr>
          <w:rFonts w:ascii="Times New Roman" w:hAnsi="Times New Roman" w:cs="Times New Roman"/>
          <w:sz w:val="24"/>
          <w:szCs w:val="24"/>
        </w:rPr>
        <w:t xml:space="preserve">risk by eliminating exposure.  This is accomplished with clean fill, assessing landfill gases and implementing mitigation measures if necessary, or restricting access, if for example surface water is impacted.  </w:t>
      </w:r>
      <w:r w:rsidR="00200D2A">
        <w:rPr>
          <w:rFonts w:ascii="Times New Roman" w:hAnsi="Times New Roman" w:cs="Times New Roman"/>
          <w:sz w:val="24"/>
          <w:szCs w:val="24"/>
        </w:rPr>
        <w:t>Th</w:t>
      </w:r>
      <w:r w:rsidR="00A149A2">
        <w:rPr>
          <w:rFonts w:ascii="Times New Roman" w:hAnsi="Times New Roman" w:cs="Times New Roman"/>
          <w:sz w:val="24"/>
          <w:szCs w:val="24"/>
        </w:rPr>
        <w:t>e object of the brownfields agre</w:t>
      </w:r>
      <w:r w:rsidR="00200D2A">
        <w:rPr>
          <w:rFonts w:ascii="Times New Roman" w:hAnsi="Times New Roman" w:cs="Times New Roman"/>
          <w:sz w:val="24"/>
          <w:szCs w:val="24"/>
        </w:rPr>
        <w:t>ement is not to “clean up” the landfill</w:t>
      </w:r>
      <w:r w:rsidR="00A149A2">
        <w:rPr>
          <w:rFonts w:ascii="Times New Roman" w:hAnsi="Times New Roman" w:cs="Times New Roman"/>
          <w:sz w:val="24"/>
          <w:szCs w:val="24"/>
        </w:rPr>
        <w:t>.  Rather, t</w:t>
      </w:r>
      <w:r w:rsidR="008D2A8E">
        <w:rPr>
          <w:rFonts w:ascii="Times New Roman" w:hAnsi="Times New Roman" w:cs="Times New Roman"/>
          <w:sz w:val="24"/>
          <w:szCs w:val="24"/>
        </w:rPr>
        <w:t>he Brownfields agreement is a vehicle for a non-</w:t>
      </w:r>
      <w:r w:rsidR="00A149A2">
        <w:rPr>
          <w:rFonts w:ascii="Times New Roman" w:hAnsi="Times New Roman" w:cs="Times New Roman"/>
          <w:sz w:val="24"/>
          <w:szCs w:val="24"/>
        </w:rPr>
        <w:t>causative prospective developer</w:t>
      </w:r>
      <w:r w:rsidR="008D2A8E">
        <w:rPr>
          <w:rFonts w:ascii="Times New Roman" w:hAnsi="Times New Roman" w:cs="Times New Roman"/>
          <w:sz w:val="24"/>
          <w:szCs w:val="24"/>
        </w:rPr>
        <w:t xml:space="preserve"> to safely redevelop a site, bringing a property back into productive reuse.  The Brownfields agreement </w:t>
      </w:r>
      <w:r w:rsidR="00A149A2">
        <w:rPr>
          <w:rFonts w:ascii="Times New Roman" w:hAnsi="Times New Roman" w:cs="Times New Roman"/>
          <w:sz w:val="24"/>
          <w:szCs w:val="24"/>
        </w:rPr>
        <w:t xml:space="preserve">only affects the liability of a non-causative prospective developer and </w:t>
      </w:r>
      <w:r w:rsidR="008D2A8E">
        <w:rPr>
          <w:rFonts w:ascii="Times New Roman" w:hAnsi="Times New Roman" w:cs="Times New Roman"/>
          <w:sz w:val="24"/>
          <w:szCs w:val="24"/>
        </w:rPr>
        <w:t xml:space="preserve">does not afford </w:t>
      </w:r>
      <w:r w:rsidR="00A149A2">
        <w:rPr>
          <w:rFonts w:ascii="Times New Roman" w:hAnsi="Times New Roman" w:cs="Times New Roman"/>
          <w:sz w:val="24"/>
          <w:szCs w:val="24"/>
        </w:rPr>
        <w:t xml:space="preserve">any </w:t>
      </w:r>
      <w:r w:rsidR="008D2A8E">
        <w:rPr>
          <w:rFonts w:ascii="Times New Roman" w:hAnsi="Times New Roman" w:cs="Times New Roman"/>
          <w:sz w:val="24"/>
          <w:szCs w:val="24"/>
        </w:rPr>
        <w:t xml:space="preserve">liability protection to the responsible party. </w:t>
      </w:r>
    </w:p>
    <w:p w:rsidR="008D2A8E" w:rsidRDefault="008D2A8E" w:rsidP="006D3DF8">
      <w:pPr>
        <w:spacing w:after="0" w:line="240" w:lineRule="auto"/>
        <w:rPr>
          <w:rFonts w:ascii="Times New Roman" w:hAnsi="Times New Roman" w:cs="Times New Roman"/>
          <w:sz w:val="24"/>
          <w:szCs w:val="24"/>
        </w:rPr>
      </w:pPr>
    </w:p>
    <w:p w:rsidR="009B797E" w:rsidRDefault="008D2A8E" w:rsidP="006D3DF8">
      <w:pPr>
        <w:spacing w:after="0" w:line="240" w:lineRule="auto"/>
        <w:rPr>
          <w:rFonts w:ascii="Times New Roman" w:hAnsi="Times New Roman" w:cs="Times New Roman"/>
          <w:sz w:val="24"/>
          <w:szCs w:val="24"/>
        </w:rPr>
      </w:pPr>
      <w:r>
        <w:rPr>
          <w:rFonts w:ascii="Times New Roman" w:hAnsi="Times New Roman" w:cs="Times New Roman"/>
          <w:b/>
          <w:sz w:val="24"/>
          <w:szCs w:val="24"/>
        </w:rPr>
        <w:t>A comment was raised regarding a past worker who may have become ill due to exposure in an occupational setting at the Former BA</w:t>
      </w:r>
      <w:r w:rsidR="00A65BD9">
        <w:rPr>
          <w:rFonts w:ascii="Times New Roman" w:hAnsi="Times New Roman" w:cs="Times New Roman"/>
          <w:b/>
          <w:sz w:val="24"/>
          <w:szCs w:val="24"/>
        </w:rPr>
        <w:t>SF plant and how this could impact children.</w:t>
      </w:r>
    </w:p>
    <w:p w:rsidR="008D2A8E" w:rsidRDefault="008D2A8E" w:rsidP="006D3DF8">
      <w:pPr>
        <w:spacing w:after="0" w:line="240" w:lineRule="auto"/>
        <w:rPr>
          <w:rFonts w:ascii="Times New Roman" w:hAnsi="Times New Roman" w:cs="Times New Roman"/>
          <w:sz w:val="24"/>
          <w:szCs w:val="24"/>
        </w:rPr>
      </w:pPr>
    </w:p>
    <w:p w:rsidR="00A65BD9" w:rsidRDefault="008D2A8E" w:rsidP="006D3DF8">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proposed Brownfields redevelopment is an open air sportsplex, where landfill material is encapsulated with 2 plus feet of clean fill.  This is not an enclosed manufacturing plant where an employee is working 8-12 hour shifts 5 days </w:t>
      </w:r>
      <w:r w:rsidR="00A65BD9">
        <w:rPr>
          <w:rFonts w:ascii="Times New Roman" w:hAnsi="Times New Roman" w:cs="Times New Roman"/>
          <w:sz w:val="24"/>
          <w:szCs w:val="24"/>
        </w:rPr>
        <w:t xml:space="preserve">week, while working directly with raw materials or chemicals.  </w:t>
      </w:r>
      <w:r w:rsidR="00A149A2">
        <w:rPr>
          <w:rFonts w:ascii="Times New Roman" w:hAnsi="Times New Roman" w:cs="Times New Roman"/>
          <w:sz w:val="24"/>
          <w:szCs w:val="24"/>
        </w:rPr>
        <w:t>Therefore, the proposed reuse</w:t>
      </w:r>
      <w:r w:rsidR="00A65BD9">
        <w:rPr>
          <w:rFonts w:ascii="Times New Roman" w:hAnsi="Times New Roman" w:cs="Times New Roman"/>
          <w:sz w:val="24"/>
          <w:szCs w:val="24"/>
        </w:rPr>
        <w:t xml:space="preserve"> cannot be compared to an occupational setting or screening limit</w:t>
      </w:r>
      <w:r w:rsidR="00A149A2">
        <w:rPr>
          <w:rFonts w:ascii="Times New Roman" w:hAnsi="Times New Roman" w:cs="Times New Roman"/>
          <w:sz w:val="24"/>
          <w:szCs w:val="24"/>
        </w:rPr>
        <w:t xml:space="preserve"> for workers at the former facility that contributed waste to the landfill</w:t>
      </w:r>
      <w:r w:rsidR="00A65BD9">
        <w:rPr>
          <w:rFonts w:ascii="Times New Roman" w:hAnsi="Times New Roman" w:cs="Times New Roman"/>
          <w:sz w:val="24"/>
          <w:szCs w:val="24"/>
        </w:rPr>
        <w:t xml:space="preserve">.  </w:t>
      </w:r>
    </w:p>
    <w:p w:rsidR="00A65BD9" w:rsidRDefault="00A65BD9" w:rsidP="006D3DF8">
      <w:pPr>
        <w:spacing w:after="0" w:line="240" w:lineRule="auto"/>
        <w:rPr>
          <w:rFonts w:ascii="Times New Roman" w:hAnsi="Times New Roman" w:cs="Times New Roman"/>
          <w:sz w:val="24"/>
          <w:szCs w:val="24"/>
        </w:rPr>
      </w:pPr>
    </w:p>
    <w:p w:rsidR="00A65BD9" w:rsidRDefault="00A65BD9" w:rsidP="006D3DF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Several comments were raised regarding a sportsplex on a landfill when there is virgin, uncontaminated property available.  </w:t>
      </w:r>
    </w:p>
    <w:p w:rsidR="00A65BD9" w:rsidRDefault="00A65BD9" w:rsidP="006D3DF8">
      <w:pPr>
        <w:spacing w:after="0" w:line="240" w:lineRule="auto"/>
        <w:rPr>
          <w:rFonts w:ascii="Times New Roman" w:hAnsi="Times New Roman" w:cs="Times New Roman"/>
          <w:b/>
          <w:sz w:val="24"/>
          <w:szCs w:val="24"/>
        </w:rPr>
      </w:pPr>
    </w:p>
    <w:p w:rsidR="00A65BD9" w:rsidRDefault="00A65BD9" w:rsidP="006D3DF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Brownfields Program is a voluntary program for prospective developers who desire to redevelop a property that may have real or perceived environmental contamination.  The Brownfields Program is working with Enka Partners, </w:t>
      </w:r>
      <w:r w:rsidR="00FE3156">
        <w:rPr>
          <w:rFonts w:ascii="Times New Roman" w:hAnsi="Times New Roman" w:cs="Times New Roman"/>
          <w:sz w:val="24"/>
          <w:szCs w:val="24"/>
        </w:rPr>
        <w:t xml:space="preserve">the </w:t>
      </w:r>
      <w:r>
        <w:rPr>
          <w:rFonts w:ascii="Times New Roman" w:hAnsi="Times New Roman" w:cs="Times New Roman"/>
          <w:sz w:val="24"/>
          <w:szCs w:val="24"/>
        </w:rPr>
        <w:t>prospe</w:t>
      </w:r>
      <w:r w:rsidR="00FE3156">
        <w:rPr>
          <w:rFonts w:ascii="Times New Roman" w:hAnsi="Times New Roman" w:cs="Times New Roman"/>
          <w:sz w:val="24"/>
          <w:szCs w:val="24"/>
        </w:rPr>
        <w:t xml:space="preserve">ctive developer.  The Brownfields Program evaluates the property and determines if the site can be made safe for its intended reuse, this has been completed for this site, with the implementation of the land use restrictions contained in the Brownfields agreement.  </w:t>
      </w:r>
    </w:p>
    <w:p w:rsidR="00FE3156" w:rsidRDefault="00FE3156" w:rsidP="006D3DF8">
      <w:pPr>
        <w:spacing w:after="0" w:line="240" w:lineRule="auto"/>
        <w:rPr>
          <w:rFonts w:ascii="Times New Roman" w:hAnsi="Times New Roman" w:cs="Times New Roman"/>
          <w:sz w:val="24"/>
          <w:szCs w:val="24"/>
        </w:rPr>
      </w:pPr>
    </w:p>
    <w:p w:rsidR="00FE3156" w:rsidRDefault="00FE3156" w:rsidP="006D3DF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87F77">
        <w:rPr>
          <w:rFonts w:ascii="Times New Roman" w:hAnsi="Times New Roman" w:cs="Times New Roman"/>
          <w:sz w:val="24"/>
          <w:szCs w:val="24"/>
        </w:rPr>
        <w:t>DEQ also has</w:t>
      </w:r>
      <w:r>
        <w:rPr>
          <w:rFonts w:ascii="Times New Roman" w:hAnsi="Times New Roman" w:cs="Times New Roman"/>
          <w:sz w:val="24"/>
          <w:szCs w:val="24"/>
        </w:rPr>
        <w:t xml:space="preserve"> landfills that have been redeveloped for sports fields.  The Flemington Landfill is now the Cape Fear Regional Soccer Complex.  A former Winston Salem Landfill has been redeveloped in</w:t>
      </w:r>
      <w:r w:rsidR="00187F77">
        <w:rPr>
          <w:rFonts w:ascii="Times New Roman" w:hAnsi="Times New Roman" w:cs="Times New Roman"/>
          <w:sz w:val="24"/>
          <w:szCs w:val="24"/>
        </w:rPr>
        <w:t>to soccer and baseball fields.</w:t>
      </w:r>
      <w:r w:rsidR="00324F54">
        <w:rPr>
          <w:rFonts w:ascii="Times New Roman" w:hAnsi="Times New Roman" w:cs="Times New Roman"/>
          <w:sz w:val="24"/>
          <w:szCs w:val="24"/>
        </w:rPr>
        <w:t xml:space="preserve">  Additionally many states across the country have converted landfills to sports fields, golf courses, playgrounds, and county parks.  </w:t>
      </w:r>
    </w:p>
    <w:p w:rsidR="00A149A2" w:rsidRDefault="00A149A2" w:rsidP="006D3DF8">
      <w:pPr>
        <w:spacing w:after="0" w:line="240" w:lineRule="auto"/>
        <w:rPr>
          <w:rFonts w:ascii="Times New Roman" w:hAnsi="Times New Roman" w:cs="Times New Roman"/>
          <w:sz w:val="24"/>
          <w:szCs w:val="24"/>
        </w:rPr>
      </w:pPr>
    </w:p>
    <w:p w:rsidR="008B71DE" w:rsidRDefault="00A149A2" w:rsidP="006D3DF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DEQ has no comment of the availability of other land for this purpose, nor on the development of virgin land for this purpose.  </w:t>
      </w:r>
    </w:p>
    <w:p w:rsidR="008B71DE" w:rsidRDefault="008B71DE" w:rsidP="006D3DF8">
      <w:pPr>
        <w:spacing w:after="0" w:line="240" w:lineRule="auto"/>
        <w:rPr>
          <w:rFonts w:ascii="Times New Roman" w:hAnsi="Times New Roman" w:cs="Times New Roman"/>
          <w:sz w:val="24"/>
          <w:szCs w:val="24"/>
        </w:rPr>
      </w:pPr>
    </w:p>
    <w:p w:rsidR="008B71DE" w:rsidRDefault="008B71DE" w:rsidP="008B71DE">
      <w:pPr>
        <w:rPr>
          <w:rFonts w:ascii="Times New Roman" w:hAnsi="Times New Roman" w:cs="Times New Roman"/>
          <w:sz w:val="24"/>
          <w:szCs w:val="24"/>
        </w:rPr>
      </w:pPr>
      <w:r>
        <w:rPr>
          <w:rFonts w:ascii="Times New Roman" w:hAnsi="Times New Roman" w:cs="Times New Roman"/>
          <w:sz w:val="24"/>
          <w:szCs w:val="24"/>
        </w:rPr>
        <w:t>The findings</w:t>
      </w:r>
      <w:r w:rsidR="00A149A2">
        <w:rPr>
          <w:rFonts w:ascii="Times New Roman" w:hAnsi="Times New Roman" w:cs="Times New Roman"/>
          <w:sz w:val="24"/>
          <w:szCs w:val="24"/>
        </w:rPr>
        <w:t xml:space="preserve"> </w:t>
      </w:r>
      <w:r>
        <w:rPr>
          <w:rFonts w:ascii="Times New Roman" w:hAnsi="Times New Roman" w:cs="Times New Roman"/>
          <w:sz w:val="24"/>
          <w:szCs w:val="24"/>
        </w:rPr>
        <w:t xml:space="preserve">of the </w:t>
      </w:r>
      <w:r w:rsidR="00A149A2">
        <w:rPr>
          <w:rFonts w:ascii="Times New Roman" w:hAnsi="Times New Roman" w:cs="Times New Roman"/>
          <w:sz w:val="24"/>
          <w:szCs w:val="24"/>
        </w:rPr>
        <w:t xml:space="preserve">NC </w:t>
      </w:r>
      <w:r>
        <w:rPr>
          <w:rFonts w:ascii="Times New Roman" w:hAnsi="Times New Roman" w:cs="Times New Roman"/>
          <w:sz w:val="24"/>
          <w:szCs w:val="24"/>
        </w:rPr>
        <w:t xml:space="preserve">General Assembly when the Brownfields Property Reuse Act of 1997 was enacted are perhaps relevant (Session Law 1997-357): </w:t>
      </w:r>
    </w:p>
    <w:p w:rsidR="008B71DE" w:rsidRPr="00613708" w:rsidRDefault="008B71DE" w:rsidP="00613708">
      <w:pPr>
        <w:ind w:left="720"/>
        <w:rPr>
          <w:rFonts w:ascii="Times New Roman" w:hAnsi="Times New Roman" w:cs="Times New Roman"/>
          <w:i/>
          <w:sz w:val="24"/>
          <w:szCs w:val="24"/>
        </w:rPr>
      </w:pPr>
      <w:r w:rsidRPr="00613708">
        <w:rPr>
          <w:rFonts w:ascii="Times New Roman" w:hAnsi="Times New Roman" w:cs="Times New Roman"/>
          <w:i/>
          <w:sz w:val="24"/>
          <w:szCs w:val="24"/>
        </w:rPr>
        <w:t>The General Assembly makes the following findings:</w:t>
      </w:r>
    </w:p>
    <w:p w:rsidR="008B71DE" w:rsidRPr="00613708" w:rsidRDefault="008B71DE" w:rsidP="00613708">
      <w:pPr>
        <w:ind w:left="720"/>
        <w:rPr>
          <w:rFonts w:ascii="Times New Roman" w:hAnsi="Times New Roman" w:cs="Times New Roman"/>
          <w:i/>
          <w:sz w:val="24"/>
          <w:szCs w:val="24"/>
        </w:rPr>
      </w:pPr>
      <w:r w:rsidRPr="00613708">
        <w:rPr>
          <w:rFonts w:ascii="Times New Roman" w:hAnsi="Times New Roman" w:cs="Times New Roman"/>
          <w:i/>
          <w:sz w:val="24"/>
          <w:szCs w:val="24"/>
        </w:rPr>
        <w:t>(1) There are abandoned, idle, and underused properties in North Carolina, often referred to as "brownfields", that may have been or were contaminated by past industrial and commercial activities, but that are attractive locations for redevelopment.</w:t>
      </w:r>
    </w:p>
    <w:p w:rsidR="008B71DE" w:rsidRPr="00613708" w:rsidRDefault="008B71DE" w:rsidP="00613708">
      <w:pPr>
        <w:ind w:left="720"/>
        <w:rPr>
          <w:rFonts w:ascii="Times New Roman" w:hAnsi="Times New Roman" w:cs="Times New Roman"/>
          <w:i/>
          <w:sz w:val="24"/>
          <w:szCs w:val="24"/>
        </w:rPr>
      </w:pPr>
      <w:r w:rsidRPr="00613708">
        <w:rPr>
          <w:rFonts w:ascii="Times New Roman" w:hAnsi="Times New Roman" w:cs="Times New Roman"/>
          <w:i/>
          <w:sz w:val="24"/>
          <w:szCs w:val="24"/>
        </w:rPr>
        <w:t>(2) The reuse, development, redevelopment, transfer, financing, and other use of brownfields is impaired by the potential liability associated with the risk of contamination.</w:t>
      </w:r>
    </w:p>
    <w:p w:rsidR="008B71DE" w:rsidRPr="00613708" w:rsidRDefault="008B71DE" w:rsidP="00613708">
      <w:pPr>
        <w:spacing w:after="0"/>
        <w:ind w:left="720"/>
        <w:rPr>
          <w:rFonts w:ascii="Times New Roman" w:hAnsi="Times New Roman" w:cs="Times New Roman"/>
          <w:i/>
          <w:sz w:val="24"/>
          <w:szCs w:val="24"/>
        </w:rPr>
      </w:pPr>
      <w:r w:rsidRPr="00613708">
        <w:rPr>
          <w:rFonts w:ascii="Times New Roman" w:hAnsi="Times New Roman" w:cs="Times New Roman"/>
          <w:i/>
          <w:sz w:val="24"/>
          <w:szCs w:val="24"/>
        </w:rPr>
        <w:t>(3) The safe redevelopment of brownfields would benefit the citizens of North Carolina in many ways, including improving the tax base of local government and creating job opportunities for citizens in the vicinity of brownfields.</w:t>
      </w:r>
    </w:p>
    <w:p w:rsidR="008B71DE" w:rsidRPr="00613708" w:rsidRDefault="008B71DE" w:rsidP="00613708">
      <w:pPr>
        <w:spacing w:after="0"/>
        <w:ind w:left="720"/>
        <w:rPr>
          <w:rFonts w:ascii="Times New Roman" w:hAnsi="Times New Roman" w:cs="Times New Roman"/>
          <w:i/>
          <w:sz w:val="24"/>
          <w:szCs w:val="24"/>
        </w:rPr>
      </w:pPr>
    </w:p>
    <w:p w:rsidR="008B71DE" w:rsidRPr="00613708" w:rsidRDefault="008B71DE" w:rsidP="00613708">
      <w:pPr>
        <w:spacing w:after="0"/>
        <w:ind w:left="720"/>
        <w:rPr>
          <w:rFonts w:ascii="Times New Roman" w:hAnsi="Times New Roman" w:cs="Times New Roman"/>
          <w:i/>
          <w:sz w:val="24"/>
          <w:szCs w:val="24"/>
        </w:rPr>
      </w:pPr>
      <w:r w:rsidRPr="00613708">
        <w:rPr>
          <w:rFonts w:ascii="Times New Roman" w:hAnsi="Times New Roman" w:cs="Times New Roman"/>
          <w:i/>
          <w:sz w:val="24"/>
          <w:szCs w:val="24"/>
        </w:rPr>
        <w:t xml:space="preserve">(4) Potential purchasers and developers of brownfields and other parties who have no connection with the contamination of the property, including redevelopment lenders, should be encouraged to provide capital and labor to improve brownfields without undue risk of liability for problems they did not create, so long as the property can be and is made safe for appropriate future use. </w:t>
      </w:r>
    </w:p>
    <w:p w:rsidR="008B71DE" w:rsidRPr="00613708" w:rsidRDefault="008B71DE" w:rsidP="00613708">
      <w:pPr>
        <w:spacing w:after="0"/>
        <w:ind w:left="720"/>
        <w:rPr>
          <w:rFonts w:ascii="Times New Roman" w:hAnsi="Times New Roman" w:cs="Times New Roman"/>
          <w:i/>
          <w:sz w:val="24"/>
          <w:szCs w:val="24"/>
        </w:rPr>
      </w:pPr>
    </w:p>
    <w:p w:rsidR="008B71DE" w:rsidRPr="00613708" w:rsidRDefault="008B71DE" w:rsidP="00613708">
      <w:pPr>
        <w:ind w:left="720"/>
        <w:rPr>
          <w:rFonts w:ascii="Times New Roman" w:hAnsi="Times New Roman" w:cs="Times New Roman"/>
          <w:i/>
          <w:sz w:val="24"/>
          <w:szCs w:val="24"/>
        </w:rPr>
      </w:pPr>
      <w:r w:rsidRPr="00613708">
        <w:rPr>
          <w:rFonts w:ascii="Times New Roman" w:hAnsi="Times New Roman" w:cs="Times New Roman"/>
          <w:i/>
          <w:sz w:val="24"/>
          <w:szCs w:val="24"/>
        </w:rPr>
        <w:t>(5) Public and local government involvement in commenting on the safe reuse of brownfields will improve the quality and acceptability of their redevelopment.</w:t>
      </w:r>
    </w:p>
    <w:p w:rsidR="00A149A2" w:rsidRPr="00A65BD9" w:rsidRDefault="00A149A2" w:rsidP="0061370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
    <w:sectPr w:rsidR="00A149A2" w:rsidRPr="00A65BD9" w:rsidSect="00FF0AD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01B" w:rsidRDefault="00D2301B" w:rsidP="00BC7DCB">
      <w:pPr>
        <w:spacing w:after="0" w:line="240" w:lineRule="auto"/>
      </w:pPr>
      <w:r>
        <w:separator/>
      </w:r>
    </w:p>
  </w:endnote>
  <w:endnote w:type="continuationSeparator" w:id="0">
    <w:p w:rsidR="00D2301B" w:rsidRDefault="00D2301B" w:rsidP="00BC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976966"/>
      <w:docPartObj>
        <w:docPartGallery w:val="Page Numbers (Bottom of Page)"/>
        <w:docPartUnique/>
      </w:docPartObj>
    </w:sdtPr>
    <w:sdtEndPr>
      <w:rPr>
        <w:noProof/>
      </w:rPr>
    </w:sdtEndPr>
    <w:sdtContent>
      <w:p w:rsidR="006003BD" w:rsidRDefault="006003BD">
        <w:pPr>
          <w:pStyle w:val="Footer"/>
          <w:jc w:val="center"/>
        </w:pPr>
        <w:r>
          <w:fldChar w:fldCharType="begin"/>
        </w:r>
        <w:r>
          <w:instrText xml:space="preserve"> PAGE   \* MERGEFORMAT </w:instrText>
        </w:r>
        <w:r>
          <w:fldChar w:fldCharType="separate"/>
        </w:r>
        <w:r w:rsidR="002E7706">
          <w:rPr>
            <w:noProof/>
          </w:rPr>
          <w:t>6</w:t>
        </w:r>
        <w:r>
          <w:rPr>
            <w:noProof/>
          </w:rPr>
          <w:fldChar w:fldCharType="end"/>
        </w:r>
      </w:p>
    </w:sdtContent>
  </w:sdt>
  <w:p w:rsidR="00CF5947" w:rsidRDefault="00CF59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01B" w:rsidRDefault="00D2301B" w:rsidP="00BC7DCB">
      <w:pPr>
        <w:spacing w:after="0" w:line="240" w:lineRule="auto"/>
      </w:pPr>
      <w:r>
        <w:separator/>
      </w:r>
    </w:p>
  </w:footnote>
  <w:footnote w:type="continuationSeparator" w:id="0">
    <w:p w:rsidR="00D2301B" w:rsidRDefault="00D2301B" w:rsidP="00BC7D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51516"/>
    <w:multiLevelType w:val="hybridMultilevel"/>
    <w:tmpl w:val="DB3419E4"/>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39"/>
    <w:rsid w:val="00032DC9"/>
    <w:rsid w:val="000469AA"/>
    <w:rsid w:val="00061A15"/>
    <w:rsid w:val="000725E9"/>
    <w:rsid w:val="00097BB9"/>
    <w:rsid w:val="000D5A4A"/>
    <w:rsid w:val="000F125A"/>
    <w:rsid w:val="00111C95"/>
    <w:rsid w:val="00113D0E"/>
    <w:rsid w:val="00116E43"/>
    <w:rsid w:val="0015694C"/>
    <w:rsid w:val="001655AE"/>
    <w:rsid w:val="00187F77"/>
    <w:rsid w:val="00190785"/>
    <w:rsid w:val="00194BE5"/>
    <w:rsid w:val="001A64B7"/>
    <w:rsid w:val="001B0570"/>
    <w:rsid w:val="001C033E"/>
    <w:rsid w:val="001D77C9"/>
    <w:rsid w:val="001E0180"/>
    <w:rsid w:val="00200D2A"/>
    <w:rsid w:val="0022354C"/>
    <w:rsid w:val="0026285F"/>
    <w:rsid w:val="00263347"/>
    <w:rsid w:val="0028288E"/>
    <w:rsid w:val="002A4748"/>
    <w:rsid w:val="002A5135"/>
    <w:rsid w:val="002B3EC1"/>
    <w:rsid w:val="002C7CEB"/>
    <w:rsid w:val="002E7706"/>
    <w:rsid w:val="002E7FA7"/>
    <w:rsid w:val="002F7EDA"/>
    <w:rsid w:val="003025B6"/>
    <w:rsid w:val="0032069C"/>
    <w:rsid w:val="00324F54"/>
    <w:rsid w:val="00327059"/>
    <w:rsid w:val="00330EBA"/>
    <w:rsid w:val="00347C43"/>
    <w:rsid w:val="00375A2F"/>
    <w:rsid w:val="00377B43"/>
    <w:rsid w:val="00420112"/>
    <w:rsid w:val="004332CF"/>
    <w:rsid w:val="0047683D"/>
    <w:rsid w:val="004879D1"/>
    <w:rsid w:val="0049336B"/>
    <w:rsid w:val="004B32E4"/>
    <w:rsid w:val="004C395B"/>
    <w:rsid w:val="00527822"/>
    <w:rsid w:val="005338B0"/>
    <w:rsid w:val="005515B0"/>
    <w:rsid w:val="00555227"/>
    <w:rsid w:val="005766C5"/>
    <w:rsid w:val="005B0AF9"/>
    <w:rsid w:val="006003BD"/>
    <w:rsid w:val="00613708"/>
    <w:rsid w:val="00630210"/>
    <w:rsid w:val="00654645"/>
    <w:rsid w:val="00655BCA"/>
    <w:rsid w:val="00684081"/>
    <w:rsid w:val="00693B55"/>
    <w:rsid w:val="006B313E"/>
    <w:rsid w:val="006B7861"/>
    <w:rsid w:val="006D3DF8"/>
    <w:rsid w:val="007204EC"/>
    <w:rsid w:val="007432BD"/>
    <w:rsid w:val="0075056A"/>
    <w:rsid w:val="007823EB"/>
    <w:rsid w:val="00790A39"/>
    <w:rsid w:val="0079136C"/>
    <w:rsid w:val="007C46F3"/>
    <w:rsid w:val="007D495F"/>
    <w:rsid w:val="00844F1B"/>
    <w:rsid w:val="008530BA"/>
    <w:rsid w:val="00872E51"/>
    <w:rsid w:val="008847AF"/>
    <w:rsid w:val="008865AA"/>
    <w:rsid w:val="008B71DE"/>
    <w:rsid w:val="008C6ECD"/>
    <w:rsid w:val="008D2A8E"/>
    <w:rsid w:val="008E50C6"/>
    <w:rsid w:val="008F2C4F"/>
    <w:rsid w:val="009041F2"/>
    <w:rsid w:val="00935E3B"/>
    <w:rsid w:val="00981364"/>
    <w:rsid w:val="009B797E"/>
    <w:rsid w:val="009F6D17"/>
    <w:rsid w:val="00A149A2"/>
    <w:rsid w:val="00A172FB"/>
    <w:rsid w:val="00A25E9B"/>
    <w:rsid w:val="00A33619"/>
    <w:rsid w:val="00A6378C"/>
    <w:rsid w:val="00A640F8"/>
    <w:rsid w:val="00A65BD9"/>
    <w:rsid w:val="00A8703E"/>
    <w:rsid w:val="00AC1070"/>
    <w:rsid w:val="00AE4C9B"/>
    <w:rsid w:val="00B1414E"/>
    <w:rsid w:val="00B30049"/>
    <w:rsid w:val="00B41BD9"/>
    <w:rsid w:val="00B535D7"/>
    <w:rsid w:val="00B67AAF"/>
    <w:rsid w:val="00B67E4D"/>
    <w:rsid w:val="00B85B45"/>
    <w:rsid w:val="00BB577B"/>
    <w:rsid w:val="00BC2425"/>
    <w:rsid w:val="00BC61A0"/>
    <w:rsid w:val="00BC7DCB"/>
    <w:rsid w:val="00C10C6B"/>
    <w:rsid w:val="00C63FC8"/>
    <w:rsid w:val="00C92D8C"/>
    <w:rsid w:val="00CD5911"/>
    <w:rsid w:val="00CE2AD1"/>
    <w:rsid w:val="00CF5947"/>
    <w:rsid w:val="00D21D3C"/>
    <w:rsid w:val="00D2301B"/>
    <w:rsid w:val="00D361BB"/>
    <w:rsid w:val="00D42E90"/>
    <w:rsid w:val="00D671C6"/>
    <w:rsid w:val="00DE1377"/>
    <w:rsid w:val="00E032A9"/>
    <w:rsid w:val="00E12366"/>
    <w:rsid w:val="00E47C28"/>
    <w:rsid w:val="00E75CAA"/>
    <w:rsid w:val="00ED3B2C"/>
    <w:rsid w:val="00F22F8E"/>
    <w:rsid w:val="00F244CE"/>
    <w:rsid w:val="00F81279"/>
    <w:rsid w:val="00F8297B"/>
    <w:rsid w:val="00FC5710"/>
    <w:rsid w:val="00FE3156"/>
    <w:rsid w:val="00FE6A78"/>
    <w:rsid w:val="00FF0AD4"/>
    <w:rsid w:val="00FF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7E61EFA-F604-4575-9DE7-3176FA74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A39"/>
    <w:pPr>
      <w:ind w:left="720"/>
    </w:pPr>
    <w:rPr>
      <w:rFonts w:ascii="Calibri" w:hAnsi="Calibri" w:cs="Times New Roman"/>
    </w:rPr>
  </w:style>
  <w:style w:type="paragraph" w:styleId="NormalWeb">
    <w:name w:val="Normal (Web)"/>
    <w:basedOn w:val="Normal"/>
    <w:uiPriority w:val="99"/>
    <w:semiHidden/>
    <w:unhideWhenUsed/>
    <w:rsid w:val="00790A39"/>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56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94C"/>
    <w:rPr>
      <w:rFonts w:ascii="Tahoma" w:hAnsi="Tahoma" w:cs="Tahoma"/>
      <w:sz w:val="16"/>
      <w:szCs w:val="16"/>
    </w:rPr>
  </w:style>
  <w:style w:type="paragraph" w:styleId="BodyTextIndent3">
    <w:name w:val="Body Text Indent 3"/>
    <w:basedOn w:val="Normal"/>
    <w:link w:val="BodyTextIndent3Char"/>
    <w:rsid w:val="00327059"/>
    <w:pPr>
      <w:widowControl w:val="0"/>
      <w:autoSpaceDE w:val="0"/>
      <w:autoSpaceDN w:val="0"/>
      <w:adjustRightInd w:val="0"/>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27059"/>
    <w:rPr>
      <w:rFonts w:ascii="Times New Roman" w:eastAsia="Times New Roman" w:hAnsi="Times New Roman" w:cs="Times New Roman"/>
      <w:sz w:val="16"/>
      <w:szCs w:val="16"/>
    </w:rPr>
  </w:style>
  <w:style w:type="paragraph" w:styleId="Header">
    <w:name w:val="header"/>
    <w:basedOn w:val="Normal"/>
    <w:link w:val="HeaderChar"/>
    <w:uiPriority w:val="99"/>
    <w:semiHidden/>
    <w:unhideWhenUsed/>
    <w:rsid w:val="00BC7D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7DCB"/>
  </w:style>
  <w:style w:type="paragraph" w:styleId="Footer">
    <w:name w:val="footer"/>
    <w:basedOn w:val="Normal"/>
    <w:link w:val="FooterChar"/>
    <w:uiPriority w:val="99"/>
    <w:unhideWhenUsed/>
    <w:rsid w:val="00BC7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DCB"/>
  </w:style>
  <w:style w:type="character" w:styleId="CommentReference">
    <w:name w:val="annotation reference"/>
    <w:basedOn w:val="DefaultParagraphFont"/>
    <w:uiPriority w:val="99"/>
    <w:semiHidden/>
    <w:unhideWhenUsed/>
    <w:rsid w:val="000469AA"/>
    <w:rPr>
      <w:sz w:val="16"/>
      <w:szCs w:val="16"/>
    </w:rPr>
  </w:style>
  <w:style w:type="paragraph" w:styleId="CommentText">
    <w:name w:val="annotation text"/>
    <w:basedOn w:val="Normal"/>
    <w:link w:val="CommentTextChar"/>
    <w:uiPriority w:val="99"/>
    <w:semiHidden/>
    <w:unhideWhenUsed/>
    <w:rsid w:val="000469AA"/>
    <w:pPr>
      <w:spacing w:line="240" w:lineRule="auto"/>
    </w:pPr>
    <w:rPr>
      <w:sz w:val="20"/>
      <w:szCs w:val="20"/>
    </w:rPr>
  </w:style>
  <w:style w:type="character" w:customStyle="1" w:styleId="CommentTextChar">
    <w:name w:val="Comment Text Char"/>
    <w:basedOn w:val="DefaultParagraphFont"/>
    <w:link w:val="CommentText"/>
    <w:uiPriority w:val="99"/>
    <w:semiHidden/>
    <w:rsid w:val="000469AA"/>
    <w:rPr>
      <w:sz w:val="20"/>
      <w:szCs w:val="20"/>
    </w:rPr>
  </w:style>
  <w:style w:type="paragraph" w:styleId="CommentSubject">
    <w:name w:val="annotation subject"/>
    <w:basedOn w:val="CommentText"/>
    <w:next w:val="CommentText"/>
    <w:link w:val="CommentSubjectChar"/>
    <w:uiPriority w:val="99"/>
    <w:semiHidden/>
    <w:unhideWhenUsed/>
    <w:rsid w:val="000469AA"/>
    <w:rPr>
      <w:b/>
      <w:bCs/>
    </w:rPr>
  </w:style>
  <w:style w:type="character" w:customStyle="1" w:styleId="CommentSubjectChar">
    <w:name w:val="Comment Subject Char"/>
    <w:basedOn w:val="CommentTextChar"/>
    <w:link w:val="CommentSubject"/>
    <w:uiPriority w:val="99"/>
    <w:semiHidden/>
    <w:rsid w:val="000469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24091">
      <w:bodyDiv w:val="1"/>
      <w:marLeft w:val="0"/>
      <w:marRight w:val="0"/>
      <w:marTop w:val="0"/>
      <w:marBottom w:val="0"/>
      <w:divBdr>
        <w:top w:val="none" w:sz="0" w:space="0" w:color="auto"/>
        <w:left w:val="none" w:sz="0" w:space="0" w:color="auto"/>
        <w:bottom w:val="none" w:sz="0" w:space="0" w:color="auto"/>
        <w:right w:val="none" w:sz="0" w:space="0" w:color="auto"/>
      </w:divBdr>
    </w:div>
    <w:div w:id="300230854">
      <w:bodyDiv w:val="1"/>
      <w:marLeft w:val="0"/>
      <w:marRight w:val="0"/>
      <w:marTop w:val="0"/>
      <w:marBottom w:val="0"/>
      <w:divBdr>
        <w:top w:val="none" w:sz="0" w:space="0" w:color="auto"/>
        <w:left w:val="none" w:sz="0" w:space="0" w:color="auto"/>
        <w:bottom w:val="none" w:sz="0" w:space="0" w:color="auto"/>
        <w:right w:val="none" w:sz="0" w:space="0" w:color="auto"/>
      </w:divBdr>
    </w:div>
    <w:div w:id="449709883">
      <w:bodyDiv w:val="1"/>
      <w:marLeft w:val="0"/>
      <w:marRight w:val="0"/>
      <w:marTop w:val="0"/>
      <w:marBottom w:val="0"/>
      <w:divBdr>
        <w:top w:val="none" w:sz="0" w:space="0" w:color="auto"/>
        <w:left w:val="none" w:sz="0" w:space="0" w:color="auto"/>
        <w:bottom w:val="none" w:sz="0" w:space="0" w:color="auto"/>
        <w:right w:val="none" w:sz="0" w:space="0" w:color="auto"/>
      </w:divBdr>
    </w:div>
    <w:div w:id="595789958">
      <w:bodyDiv w:val="1"/>
      <w:marLeft w:val="0"/>
      <w:marRight w:val="0"/>
      <w:marTop w:val="0"/>
      <w:marBottom w:val="0"/>
      <w:divBdr>
        <w:top w:val="none" w:sz="0" w:space="0" w:color="auto"/>
        <w:left w:val="none" w:sz="0" w:space="0" w:color="auto"/>
        <w:bottom w:val="none" w:sz="0" w:space="0" w:color="auto"/>
        <w:right w:val="none" w:sz="0" w:space="0" w:color="auto"/>
      </w:divBdr>
    </w:div>
    <w:div w:id="1023092992">
      <w:bodyDiv w:val="1"/>
      <w:marLeft w:val="0"/>
      <w:marRight w:val="0"/>
      <w:marTop w:val="0"/>
      <w:marBottom w:val="0"/>
      <w:divBdr>
        <w:top w:val="none" w:sz="0" w:space="0" w:color="auto"/>
        <w:left w:val="none" w:sz="0" w:space="0" w:color="auto"/>
        <w:bottom w:val="none" w:sz="0" w:space="0" w:color="auto"/>
        <w:right w:val="none" w:sz="0" w:space="0" w:color="auto"/>
      </w:divBdr>
    </w:div>
    <w:div w:id="168362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2212</Words>
  <Characters>12615</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Scott, Michael</cp:lastModifiedBy>
  <cp:revision>2</cp:revision>
  <cp:lastPrinted>2016-03-24T17:31:00Z</cp:lastPrinted>
  <dcterms:created xsi:type="dcterms:W3CDTF">2016-03-24T17:44:00Z</dcterms:created>
  <dcterms:modified xsi:type="dcterms:W3CDTF">2016-03-24T17:44:00Z</dcterms:modified>
</cp:coreProperties>
</file>