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610" w:rsidRDefault="00BE3610">
      <w:pPr>
        <w:rPr>
          <w:b/>
          <w:i/>
          <w:u w:val="single"/>
        </w:rPr>
      </w:pPr>
      <w:r>
        <w:rPr>
          <w:b/>
          <w:bCs/>
        </w:rPr>
        <w:t>40 CFR Part 441 – Effluent Limitations Guidelines and Standards for the Dental Category</w:t>
      </w:r>
    </w:p>
    <w:p w:rsidR="00BE3610" w:rsidRPr="00DF511D" w:rsidRDefault="003B3DA1" w:rsidP="00DF511D">
      <w:pPr>
        <w:pStyle w:val="NoSpacing"/>
        <w:rPr>
          <w:b/>
        </w:rPr>
      </w:pPr>
      <w:hyperlink w:history="1"/>
      <w:r w:rsidR="00BE3610" w:rsidRPr="00DF511D">
        <w:rPr>
          <w:b/>
        </w:rPr>
        <w:t>Link to the rule</w:t>
      </w:r>
      <w:r w:rsidR="00DF511D">
        <w:rPr>
          <w:b/>
        </w:rPr>
        <w:t>:</w:t>
      </w:r>
    </w:p>
    <w:p w:rsidR="00BE3610" w:rsidRDefault="003B3DA1">
      <w:hyperlink r:id="rId5" w:history="1">
        <w:r w:rsidR="00BE3610" w:rsidRPr="00B81600">
          <w:rPr>
            <w:rStyle w:val="Hyperlink"/>
          </w:rPr>
          <w:t>https://www.epa.gov/eg/dental-effluent-guidelines</w:t>
        </w:r>
      </w:hyperlink>
    </w:p>
    <w:p w:rsidR="00DF511D" w:rsidRPr="00DF511D" w:rsidRDefault="00DF511D" w:rsidP="00DF511D">
      <w:pPr>
        <w:rPr>
          <w:b/>
          <w:iCs/>
        </w:rPr>
      </w:pPr>
      <w:r w:rsidRPr="00DF511D">
        <w:rPr>
          <w:b/>
          <w:iCs/>
        </w:rPr>
        <w:t xml:space="preserve">Definitions: </w:t>
      </w:r>
    </w:p>
    <w:p w:rsidR="00DF511D" w:rsidRDefault="00DF511D" w:rsidP="00DF511D">
      <w:pPr>
        <w:pStyle w:val="ListParagraph"/>
        <w:numPr>
          <w:ilvl w:val="0"/>
          <w:numId w:val="7"/>
        </w:numPr>
        <w:spacing w:after="0" w:line="240" w:lineRule="auto"/>
      </w:pPr>
      <w:r w:rsidRPr="00B051D3">
        <w:rPr>
          <w:i/>
          <w:iCs/>
          <w:u w:val="single"/>
        </w:rPr>
        <w:t>POTW</w:t>
      </w:r>
      <w:r>
        <w:t xml:space="preserve"> = Publicly Owned Treatment Works (municipal wastewater treatment plant and sanitary sewer collection system)</w:t>
      </w:r>
    </w:p>
    <w:p w:rsidR="00DF511D" w:rsidRPr="003B3DA1" w:rsidRDefault="00DF511D" w:rsidP="003B3DA1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 w:rsidRPr="00B051D3">
        <w:rPr>
          <w:i/>
          <w:iCs/>
          <w:u w:val="single"/>
        </w:rPr>
        <w:t>Control Authority</w:t>
      </w:r>
      <w:r>
        <w:rPr>
          <w:i/>
          <w:iCs/>
          <w:u w:val="single"/>
        </w:rPr>
        <w:t xml:space="preserve"> (CA)</w:t>
      </w:r>
      <w:r>
        <w:t xml:space="preserve"> = For dental practices in cities</w:t>
      </w:r>
      <w:r w:rsidR="003B3DA1">
        <w:t xml:space="preserve"> with an approved pretreatment program</w:t>
      </w:r>
      <w:r>
        <w:t>, the local POTW Pretreatment Program Administrator is the CA.</w:t>
      </w:r>
      <w:r w:rsidR="003B3DA1">
        <w:t xml:space="preserve">   </w:t>
      </w:r>
      <w:r>
        <w:t xml:space="preserve">For dentists located in a </w:t>
      </w:r>
      <w:r w:rsidR="003B3DA1">
        <w:t>city</w:t>
      </w:r>
      <w:r>
        <w:t xml:space="preserve"> that does not have a Pretreatment Program, the State of North Carolina Department of Environmental Quality (DEQ) is the Control Authority.  </w:t>
      </w:r>
    </w:p>
    <w:p w:rsidR="003B3DA1" w:rsidRPr="003B3DA1" w:rsidRDefault="003B3DA1" w:rsidP="003B3DA1">
      <w:pPr>
        <w:pStyle w:val="ListParagraph"/>
        <w:spacing w:after="0" w:line="240" w:lineRule="auto"/>
        <w:ind w:left="360"/>
        <w:rPr>
          <w:b/>
        </w:rPr>
      </w:pPr>
    </w:p>
    <w:p w:rsidR="00D9624D" w:rsidRDefault="00AF1270">
      <w:r w:rsidRPr="00AF1270">
        <w:rPr>
          <w:b/>
        </w:rPr>
        <w:t>Ap</w:t>
      </w:r>
      <w:bookmarkStart w:id="0" w:name="_GoBack"/>
      <w:bookmarkEnd w:id="0"/>
      <w:r w:rsidRPr="00AF1270">
        <w:rPr>
          <w:b/>
        </w:rPr>
        <w:t>plicable to</w:t>
      </w:r>
      <w:r w:rsidR="00D9624D">
        <w:t xml:space="preserve"> most dental offices</w:t>
      </w:r>
    </w:p>
    <w:p w:rsidR="00D9624D" w:rsidRDefault="00D9624D" w:rsidP="00D9624D">
      <w:pPr>
        <w:spacing w:after="0"/>
      </w:pPr>
      <w:r>
        <w:t xml:space="preserve">Exemption for these facilities:  </w:t>
      </w:r>
    </w:p>
    <w:p w:rsidR="00D9624D" w:rsidRDefault="00AF1270" w:rsidP="00DF511D">
      <w:pPr>
        <w:pStyle w:val="ListParagraph"/>
        <w:numPr>
          <w:ilvl w:val="0"/>
          <w:numId w:val="2"/>
        </w:numPr>
        <w:spacing w:after="0"/>
      </w:pPr>
      <w:r>
        <w:t xml:space="preserve">exclusively practice oral pathology, oral and maxillofacial radiology, oral and maxillofacial surgery, orthodontics, periodontics </w:t>
      </w:r>
      <w:r w:rsidRPr="00BE3610">
        <w:rPr>
          <w:u w:val="single"/>
        </w:rPr>
        <w:t>or</w:t>
      </w:r>
      <w:r>
        <w:t xml:space="preserve"> prosthodontics;</w:t>
      </w:r>
    </w:p>
    <w:p w:rsidR="00D9624D" w:rsidRDefault="00D9624D" w:rsidP="00DF511D">
      <w:pPr>
        <w:pStyle w:val="ListParagraph"/>
        <w:numPr>
          <w:ilvl w:val="0"/>
          <w:numId w:val="2"/>
        </w:numPr>
        <w:spacing w:after="0"/>
      </w:pPr>
      <w:r w:rsidRPr="00BE3610">
        <w:rPr>
          <w:u w:val="single"/>
        </w:rPr>
        <w:t>or</w:t>
      </w:r>
      <w:r>
        <w:t xml:space="preserve"> </w:t>
      </w:r>
      <w:r w:rsidR="00AF1270">
        <w:t xml:space="preserve">are mobile units; </w:t>
      </w:r>
    </w:p>
    <w:p w:rsidR="00D5494B" w:rsidRDefault="00D9624D" w:rsidP="00DF511D">
      <w:pPr>
        <w:pStyle w:val="ListParagraph"/>
        <w:numPr>
          <w:ilvl w:val="0"/>
          <w:numId w:val="2"/>
        </w:numPr>
        <w:spacing w:after="0"/>
      </w:pPr>
      <w:r w:rsidRPr="00BE3610">
        <w:rPr>
          <w:u w:val="single"/>
        </w:rPr>
        <w:t>or</w:t>
      </w:r>
      <w:r>
        <w:t xml:space="preserve"> </w:t>
      </w:r>
      <w:r w:rsidR="00D5494B">
        <w:t>do not discharge to a POTW.</w:t>
      </w:r>
    </w:p>
    <w:p w:rsidR="00AF1270" w:rsidRDefault="00D5494B" w:rsidP="007555B4">
      <w:pPr>
        <w:pStyle w:val="ListParagraph"/>
        <w:numPr>
          <w:ilvl w:val="0"/>
          <w:numId w:val="2"/>
        </w:numPr>
      </w:pPr>
      <w:r>
        <w:t xml:space="preserve">Partial exemption to facilities </w:t>
      </w:r>
      <w:r w:rsidR="00AF1270">
        <w:t xml:space="preserve">that do not place dental amalgam at all </w:t>
      </w:r>
      <w:r w:rsidR="00AF1270" w:rsidRPr="007555B4">
        <w:rPr>
          <w:u w:val="single"/>
        </w:rPr>
        <w:t>AND</w:t>
      </w:r>
      <w:r w:rsidR="00AF1270">
        <w:t xml:space="preserve"> only remove amalgam 5% or less of the total number of</w:t>
      </w:r>
      <w:r>
        <w:t xml:space="preserve"> procedures conducted annually (One-Time Compliance Report is required)</w:t>
      </w:r>
    </w:p>
    <w:p w:rsidR="00AF1270" w:rsidRDefault="00AF1270">
      <w:r>
        <w:rPr>
          <w:b/>
        </w:rPr>
        <w:t>Existing Source Requirements</w:t>
      </w:r>
      <w:r>
        <w:t xml:space="preserve"> </w:t>
      </w:r>
    </w:p>
    <w:p w:rsidR="00542B49" w:rsidRPr="00DF511D" w:rsidRDefault="00542B49">
      <w:pPr>
        <w:rPr>
          <w:i/>
          <w:u w:val="single"/>
        </w:rPr>
      </w:pPr>
      <w:r w:rsidRPr="00DF511D">
        <w:rPr>
          <w:i/>
          <w:u w:val="single"/>
        </w:rPr>
        <w:t>Equipment</w:t>
      </w:r>
    </w:p>
    <w:p w:rsidR="00AF1270" w:rsidRDefault="00AF1270" w:rsidP="00DF511D">
      <w:pPr>
        <w:pStyle w:val="ListParagraph"/>
        <w:numPr>
          <w:ilvl w:val="0"/>
          <w:numId w:val="3"/>
        </w:numPr>
      </w:pPr>
      <w:r>
        <w:t xml:space="preserve">Amalgam separators meeting ISO 11143 standards and sized as required in rule must be installed by </w:t>
      </w:r>
      <w:r w:rsidR="00DF511D">
        <w:rPr>
          <w:u w:val="single"/>
        </w:rPr>
        <w:t>July 14, 2020</w:t>
      </w:r>
      <w:r w:rsidR="007555B4">
        <w:rPr>
          <w:u w:val="single"/>
        </w:rPr>
        <w:t>.</w:t>
      </w:r>
    </w:p>
    <w:p w:rsidR="00AF1270" w:rsidRPr="00AF1270" w:rsidRDefault="00AF1270" w:rsidP="00DF511D">
      <w:pPr>
        <w:pStyle w:val="ListParagraph"/>
        <w:numPr>
          <w:ilvl w:val="0"/>
          <w:numId w:val="3"/>
        </w:numPr>
      </w:pPr>
      <w:r>
        <w:t>If amalgam separator is currently in use, but does not meet the ISO 11143 standard</w:t>
      </w:r>
      <w:r w:rsidR="00542B49">
        <w:t xml:space="preserve"> and/or sizing requirements</w:t>
      </w:r>
      <w:r>
        <w:t xml:space="preserve">, </w:t>
      </w:r>
      <w:r w:rsidR="00542B49">
        <w:t xml:space="preserve">it may continue to be used </w:t>
      </w:r>
      <w:r w:rsidR="00542B49" w:rsidRPr="00C33D2A">
        <w:rPr>
          <w:u w:val="single"/>
        </w:rPr>
        <w:t xml:space="preserve">until replacement required or </w:t>
      </w:r>
      <w:r w:rsidR="00DF511D">
        <w:rPr>
          <w:u w:val="single"/>
        </w:rPr>
        <w:t>July 14, 2027</w:t>
      </w:r>
      <w:r w:rsidR="00542B49" w:rsidRPr="00C33D2A">
        <w:rPr>
          <w:u w:val="single"/>
        </w:rPr>
        <w:t>, whichever is sooner</w:t>
      </w:r>
      <w:r w:rsidR="00542B49">
        <w:t>.</w:t>
      </w:r>
    </w:p>
    <w:p w:rsidR="00AF1270" w:rsidRDefault="00542B49" w:rsidP="00DF511D">
      <w:pPr>
        <w:pStyle w:val="ListParagraph"/>
        <w:numPr>
          <w:ilvl w:val="0"/>
          <w:numId w:val="3"/>
        </w:numPr>
      </w:pPr>
      <w:r>
        <w:t>Inspections, operations and maintenance per the manufacturer’s instructions are required</w:t>
      </w:r>
      <w:r w:rsidR="007555B4">
        <w:t>.</w:t>
      </w:r>
    </w:p>
    <w:p w:rsidR="00542B49" w:rsidRDefault="00542B49" w:rsidP="00DF511D">
      <w:pPr>
        <w:pStyle w:val="ListParagraph"/>
        <w:numPr>
          <w:ilvl w:val="0"/>
          <w:numId w:val="3"/>
        </w:numPr>
      </w:pPr>
      <w:r>
        <w:t>Repairs within 10 days of discovery are required</w:t>
      </w:r>
      <w:r w:rsidR="007555B4">
        <w:t>.</w:t>
      </w:r>
    </w:p>
    <w:p w:rsidR="00542B49" w:rsidRDefault="00542B49" w:rsidP="00DF511D">
      <w:pPr>
        <w:pStyle w:val="ListParagraph"/>
        <w:numPr>
          <w:ilvl w:val="0"/>
          <w:numId w:val="3"/>
        </w:numPr>
      </w:pPr>
      <w:r>
        <w:t>Other amalgam removal devices are permissible, but must meet the requirements in 441.30(a)(2)</w:t>
      </w:r>
      <w:r w:rsidR="007555B4">
        <w:t>.</w:t>
      </w:r>
    </w:p>
    <w:p w:rsidR="00542B49" w:rsidRPr="00DF511D" w:rsidRDefault="00542B49">
      <w:pPr>
        <w:rPr>
          <w:i/>
          <w:u w:val="single"/>
        </w:rPr>
      </w:pPr>
      <w:r w:rsidRPr="00DF511D">
        <w:rPr>
          <w:i/>
          <w:u w:val="single"/>
        </w:rPr>
        <w:t>Best Management Practices (BMPs)</w:t>
      </w:r>
    </w:p>
    <w:p w:rsidR="00542B49" w:rsidRDefault="00542B49" w:rsidP="00DF511D">
      <w:pPr>
        <w:pStyle w:val="ListParagraph"/>
        <w:numPr>
          <w:ilvl w:val="0"/>
          <w:numId w:val="4"/>
        </w:numPr>
      </w:pPr>
      <w:r>
        <w:t>Waste amalgam may not be discharged to a POTW</w:t>
      </w:r>
      <w:r w:rsidR="007555B4">
        <w:t>.</w:t>
      </w:r>
    </w:p>
    <w:p w:rsidR="00D9624D" w:rsidRDefault="00542B49" w:rsidP="00DF511D">
      <w:pPr>
        <w:pStyle w:val="ListParagraph"/>
        <w:numPr>
          <w:ilvl w:val="0"/>
          <w:numId w:val="4"/>
        </w:numPr>
      </w:pPr>
      <w:r>
        <w:t>Plumbing that discharges amalgam process wastewater must not be cleaned with oxidizing or acidic cleaners</w:t>
      </w:r>
      <w:r w:rsidR="00D9624D">
        <w:t>*</w:t>
      </w:r>
      <w:r>
        <w:t>, including but not limited to bleach, chlorine, iodine and peroxide outside of pH range of 6-8 standard units</w:t>
      </w:r>
      <w:r w:rsidR="00D9624D">
        <w:t xml:space="preserve">.  * </w:t>
      </w:r>
      <w:r w:rsidR="00C33D2A">
        <w:t>T</w:t>
      </w:r>
      <w:r w:rsidR="00D9624D">
        <w:t>hese cleaners dissolve mercury</w:t>
      </w:r>
      <w:r w:rsidR="00C33D2A">
        <w:t>.</w:t>
      </w:r>
    </w:p>
    <w:p w:rsidR="00542B49" w:rsidRPr="00DF511D" w:rsidRDefault="00542B49">
      <w:pPr>
        <w:rPr>
          <w:u w:val="single"/>
        </w:rPr>
      </w:pPr>
      <w:r w:rsidRPr="00DF511D">
        <w:rPr>
          <w:i/>
          <w:u w:val="single"/>
        </w:rPr>
        <w:t>Reporting and Record-keeping</w:t>
      </w:r>
    </w:p>
    <w:p w:rsidR="00D5494B" w:rsidRDefault="00D5494B" w:rsidP="00DF511D">
      <w:pPr>
        <w:pStyle w:val="ListParagraph"/>
        <w:numPr>
          <w:ilvl w:val="0"/>
          <w:numId w:val="5"/>
        </w:numPr>
      </w:pPr>
      <w:r>
        <w:t xml:space="preserve">Submit </w:t>
      </w:r>
      <w:r w:rsidR="00542B49">
        <w:t xml:space="preserve">One-Time Compliance Report by </w:t>
      </w:r>
      <w:r w:rsidR="00DF511D">
        <w:rPr>
          <w:u w:val="single"/>
        </w:rPr>
        <w:t>October 12, 2020</w:t>
      </w:r>
      <w:r w:rsidR="00542B49">
        <w:t xml:space="preserve"> </w:t>
      </w:r>
      <w:r>
        <w:t>and keep a copy on-site for life of facility</w:t>
      </w:r>
      <w:r w:rsidR="007555B4">
        <w:t>.</w:t>
      </w:r>
    </w:p>
    <w:p w:rsidR="00D5494B" w:rsidRDefault="00D5494B" w:rsidP="00DF511D">
      <w:pPr>
        <w:pStyle w:val="ListParagraph"/>
        <w:numPr>
          <w:ilvl w:val="0"/>
          <w:numId w:val="5"/>
        </w:numPr>
      </w:pPr>
      <w:r>
        <w:t>Records required to be kept for three years:  inspection documentation, amalgam retaining container replacements, dental amalgam pick-up or shipment documentation, repair/replacement of amalgam separator replacement, and the operating manual for the current separator in use (</w:t>
      </w:r>
      <w:r w:rsidR="00C33D2A">
        <w:t>for maintenance purposes, dentists may want to consider retaining the operator manual for the life of the separator</w:t>
      </w:r>
      <w:r>
        <w:t>)</w:t>
      </w:r>
      <w:r w:rsidR="007555B4">
        <w:t>.</w:t>
      </w:r>
    </w:p>
    <w:p w:rsidR="00D5494B" w:rsidRDefault="00D5494B" w:rsidP="00DF511D">
      <w:pPr>
        <w:pStyle w:val="ListParagraph"/>
        <w:numPr>
          <w:ilvl w:val="0"/>
          <w:numId w:val="5"/>
        </w:numPr>
      </w:pPr>
      <w:r>
        <w:t>Transfer of Ownership notification</w:t>
      </w:r>
      <w:r w:rsidR="00DF511D">
        <w:t xml:space="preserve">. </w:t>
      </w:r>
      <w:r>
        <w:t xml:space="preserve"> </w:t>
      </w:r>
      <w:r w:rsidR="00DF511D" w:rsidRPr="00DF511D">
        <w:t xml:space="preserve">If a dental discharger transfers ownership of the facility, the new owner must submit a new One-Time Compliance Report to the Control Authority no later than 90 days after the transfer. </w:t>
      </w:r>
    </w:p>
    <w:p w:rsidR="00D5494B" w:rsidRDefault="00D5494B">
      <w:r>
        <w:rPr>
          <w:b/>
        </w:rPr>
        <w:lastRenderedPageBreak/>
        <w:t>New Source Requirements</w:t>
      </w:r>
    </w:p>
    <w:p w:rsidR="00DF511D" w:rsidRDefault="00DF511D" w:rsidP="00DF511D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Any new dentist/dental practice </w:t>
      </w:r>
      <w:r w:rsidRPr="00DF511D">
        <w:rPr>
          <w:rFonts w:eastAsia="Times New Roman"/>
          <w:iCs/>
        </w:rPr>
        <w:t xml:space="preserve">that opens on or after </w:t>
      </w:r>
      <w:r w:rsidRPr="00DF511D">
        <w:rPr>
          <w:rFonts w:eastAsia="Times New Roman"/>
          <w:iCs/>
          <w:u w:val="single"/>
        </w:rPr>
        <w:t>July 14, 2017</w:t>
      </w:r>
      <w:r w:rsidRPr="00DF511D">
        <w:rPr>
          <w:rFonts w:eastAsia="Times New Roman"/>
        </w:rPr>
        <w:t xml:space="preserve"> </w:t>
      </w:r>
      <w:r>
        <w:rPr>
          <w:rFonts w:eastAsia="Times New Roman"/>
        </w:rPr>
        <w:t xml:space="preserve">is considered a “new source” and must comply with the Rule (amalgam separator, BMPs, record keeping) </w:t>
      </w:r>
      <w:r>
        <w:rPr>
          <w:rFonts w:eastAsia="Times New Roman"/>
          <w:u w:val="single"/>
        </w:rPr>
        <w:t>prior</w:t>
      </w:r>
      <w:r>
        <w:rPr>
          <w:rFonts w:eastAsia="Times New Roman"/>
        </w:rPr>
        <w:t xml:space="preserve"> to discharging dental wastewater to a POTW.  </w:t>
      </w:r>
    </w:p>
    <w:p w:rsidR="00DF511D" w:rsidRPr="00DF511D" w:rsidRDefault="00DF511D" w:rsidP="00DF511D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DF511D">
        <w:rPr>
          <w:rFonts w:eastAsia="Times New Roman"/>
        </w:rPr>
        <w:t xml:space="preserve">“New Sources” must comply immediately with all of the requirements upon opening the practice and do not get the 3 year compliance period allowed for an “existing </w:t>
      </w:r>
      <w:r w:rsidR="007555B4">
        <w:rPr>
          <w:rFonts w:eastAsia="Times New Roman"/>
        </w:rPr>
        <w:t>source.”</w:t>
      </w:r>
    </w:p>
    <w:p w:rsidR="00366DCC" w:rsidRPr="00366DCC" w:rsidRDefault="00DF511D" w:rsidP="00366DCC">
      <w:pPr>
        <w:pStyle w:val="ListParagraph"/>
        <w:numPr>
          <w:ilvl w:val="0"/>
          <w:numId w:val="5"/>
        </w:numPr>
      </w:pPr>
      <w:r w:rsidRPr="00DF511D">
        <w:t>The New Source One-Time Compliance Report is due no later than 90 days following introduction of wastewater into a POTW.</w:t>
      </w:r>
    </w:p>
    <w:sectPr w:rsidR="00366DCC" w:rsidRPr="00366DCC" w:rsidSect="008C7B00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12A10"/>
    <w:multiLevelType w:val="hybridMultilevel"/>
    <w:tmpl w:val="45346488"/>
    <w:lvl w:ilvl="0" w:tplc="8ACE72B0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6799"/>
    <w:multiLevelType w:val="hybridMultilevel"/>
    <w:tmpl w:val="7FB0F42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ACE72B0">
      <w:start w:val="4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AF5CF72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726F82"/>
    <w:multiLevelType w:val="hybridMultilevel"/>
    <w:tmpl w:val="4A0E7DEE"/>
    <w:lvl w:ilvl="0" w:tplc="8ACE72B0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21CFE"/>
    <w:multiLevelType w:val="hybridMultilevel"/>
    <w:tmpl w:val="CC186900"/>
    <w:lvl w:ilvl="0" w:tplc="8ACE72B0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14623"/>
    <w:multiLevelType w:val="hybridMultilevel"/>
    <w:tmpl w:val="CBAE5C2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DB10BB"/>
    <w:multiLevelType w:val="hybridMultilevel"/>
    <w:tmpl w:val="FA7E4E7A"/>
    <w:lvl w:ilvl="0" w:tplc="8ACE72B0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7111BE"/>
    <w:multiLevelType w:val="hybridMultilevel"/>
    <w:tmpl w:val="BA6A1324"/>
    <w:lvl w:ilvl="0" w:tplc="8ACE72B0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70"/>
    <w:rsid w:val="00194173"/>
    <w:rsid w:val="00316665"/>
    <w:rsid w:val="00366DCC"/>
    <w:rsid w:val="003B3DA1"/>
    <w:rsid w:val="00542B49"/>
    <w:rsid w:val="007555B4"/>
    <w:rsid w:val="00795A3D"/>
    <w:rsid w:val="008C7B00"/>
    <w:rsid w:val="00AF1270"/>
    <w:rsid w:val="00BE3610"/>
    <w:rsid w:val="00C33D2A"/>
    <w:rsid w:val="00D1567E"/>
    <w:rsid w:val="00D5494B"/>
    <w:rsid w:val="00D9624D"/>
    <w:rsid w:val="00DF511D"/>
    <w:rsid w:val="00E3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EF06C"/>
  <w15:docId w15:val="{37E1C998-D97F-4B23-A092-077FE720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7B0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7B0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61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E36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E3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pa.gov/eg/dental-effluent-guidelin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karen_reece</dc:creator>
  <cp:lastModifiedBy>Gore, Deborah</cp:lastModifiedBy>
  <cp:revision>3</cp:revision>
  <dcterms:created xsi:type="dcterms:W3CDTF">2017-10-05T12:59:00Z</dcterms:created>
  <dcterms:modified xsi:type="dcterms:W3CDTF">2017-10-05T13:22:00Z</dcterms:modified>
</cp:coreProperties>
</file>